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F93B" w14:textId="08B2D448" w:rsidR="003111EE" w:rsidRPr="001C277A" w:rsidRDefault="002406C9" w:rsidP="00B94F0C">
      <w:pPr>
        <w:autoSpaceDE w:val="0"/>
        <w:autoSpaceDN w:val="0"/>
        <w:adjustRightInd w:val="0"/>
        <w:spacing w:after="0" w:line="240" w:lineRule="auto"/>
        <w:jc w:val="both"/>
        <w:rPr>
          <w:rFonts w:cs="Arial"/>
          <w:b/>
          <w:bCs/>
          <w:sz w:val="24"/>
          <w:szCs w:val="24"/>
        </w:rPr>
      </w:pPr>
      <w:proofErr w:type="spellStart"/>
      <w:r>
        <w:rPr>
          <w:rFonts w:cs="Arial"/>
          <w:b/>
          <w:bCs/>
          <w:sz w:val="24"/>
          <w:szCs w:val="24"/>
        </w:rPr>
        <w:t>FlexPEP</w:t>
      </w:r>
      <w:proofErr w:type="spellEnd"/>
      <w:r>
        <w:rPr>
          <w:rFonts w:cs="Arial"/>
          <w:b/>
          <w:bCs/>
          <w:sz w:val="24"/>
          <w:szCs w:val="24"/>
        </w:rPr>
        <w:t>(b) Pooled Employer 403(b) Plan as adopted by Moosilauke Visions, Inc.</w:t>
      </w:r>
    </w:p>
    <w:p w14:paraId="5066345C" w14:textId="1FF92DF0" w:rsidR="00055961" w:rsidRPr="001C277A" w:rsidRDefault="00FC71E0" w:rsidP="004C60CF">
      <w:pPr>
        <w:autoSpaceDE w:val="0"/>
        <w:autoSpaceDN w:val="0"/>
        <w:spacing w:after="0" w:line="240" w:lineRule="auto"/>
        <w:jc w:val="both"/>
        <w:rPr>
          <w:b/>
          <w:bCs/>
          <w:sz w:val="20"/>
        </w:rPr>
      </w:pPr>
      <w:r w:rsidRPr="001C277A">
        <w:rPr>
          <w:bCs/>
          <w:sz w:val="20"/>
        </w:rPr>
        <w:t>Plan Code</w:t>
      </w:r>
      <w:r w:rsidR="007D5794" w:rsidRPr="001C277A">
        <w:rPr>
          <w:bCs/>
          <w:sz w:val="20"/>
        </w:rPr>
        <w:t xml:space="preserve">: </w:t>
      </w:r>
      <w:bookmarkStart w:id="0" w:name="PlanCode"/>
      <w:bookmarkEnd w:id="0"/>
      <w:r w:rsidR="00167F99" w:rsidRPr="001C277A">
        <w:rPr>
          <w:bCs/>
          <w:sz w:val="20"/>
        </w:rPr>
        <w:t>FLEXB-001</w:t>
      </w:r>
    </w:p>
    <w:p w14:paraId="7BF384C9" w14:textId="77777777" w:rsidR="007D5794" w:rsidRPr="001C277A" w:rsidRDefault="007D5794" w:rsidP="004C60CF">
      <w:pPr>
        <w:autoSpaceDE w:val="0"/>
        <w:autoSpaceDN w:val="0"/>
        <w:spacing w:after="0" w:line="240" w:lineRule="auto"/>
        <w:jc w:val="both"/>
        <w:rPr>
          <w:rFonts w:cs="Arial"/>
          <w:color w:val="000000"/>
          <w:sz w:val="20"/>
          <w:szCs w:val="20"/>
        </w:rPr>
      </w:pPr>
      <w:r w:rsidRPr="001C277A">
        <w:rPr>
          <w:bCs/>
          <w:sz w:val="20"/>
        </w:rPr>
        <w:t>Product Name:</w:t>
      </w:r>
      <w:r w:rsidR="002D6B71" w:rsidRPr="001C277A">
        <w:rPr>
          <w:bCs/>
          <w:sz w:val="20"/>
        </w:rPr>
        <w:t xml:space="preserve"> </w:t>
      </w:r>
      <w:r w:rsidR="005C4AA2" w:rsidRPr="001C277A">
        <w:rPr>
          <w:rFonts w:cs="Arial"/>
          <w:i/>
          <w:sz w:val="20"/>
          <w:szCs w:val="20"/>
        </w:rPr>
        <w:t>Lincoln Alliance</w:t>
      </w:r>
      <w:r w:rsidR="005C4AA2" w:rsidRPr="001C277A">
        <w:rPr>
          <w:rFonts w:cs="Arial"/>
          <w:sz w:val="20"/>
          <w:szCs w:val="20"/>
          <w:vertAlign w:val="superscript"/>
        </w:rPr>
        <w:t>®</w:t>
      </w:r>
      <w:r w:rsidR="005C4AA2" w:rsidRPr="001C277A">
        <w:rPr>
          <w:rFonts w:cs="Arial"/>
          <w:sz w:val="20"/>
          <w:szCs w:val="20"/>
        </w:rPr>
        <w:t xml:space="preserve"> program</w:t>
      </w:r>
    </w:p>
    <w:p w14:paraId="483A0B47" w14:textId="77777777" w:rsidR="006532F5" w:rsidRPr="001C277A" w:rsidRDefault="006532F5" w:rsidP="00B94F0C">
      <w:pPr>
        <w:autoSpaceDE w:val="0"/>
        <w:autoSpaceDN w:val="0"/>
        <w:adjustRightInd w:val="0"/>
        <w:spacing w:after="0" w:line="240" w:lineRule="auto"/>
        <w:jc w:val="both"/>
        <w:rPr>
          <w:rFonts w:cs="Arial"/>
          <w:b/>
          <w:bCs/>
          <w:sz w:val="24"/>
          <w:szCs w:val="24"/>
        </w:rPr>
      </w:pPr>
      <w:bookmarkStart w:id="1" w:name="BackToTop"/>
      <w:bookmarkEnd w:id="1"/>
    </w:p>
    <w:p w14:paraId="75CF9129" w14:textId="2A81D124" w:rsidR="00306F30" w:rsidRPr="001C277A" w:rsidRDefault="002D6B71" w:rsidP="00B94F0C">
      <w:pPr>
        <w:autoSpaceDE w:val="0"/>
        <w:autoSpaceDN w:val="0"/>
        <w:adjustRightInd w:val="0"/>
        <w:spacing w:after="0" w:line="240" w:lineRule="auto"/>
        <w:jc w:val="both"/>
        <w:rPr>
          <w:rFonts w:cs="Arial"/>
          <w:sz w:val="20"/>
          <w:szCs w:val="20"/>
        </w:rPr>
      </w:pPr>
      <w:r w:rsidRPr="001C277A">
        <w:rPr>
          <w:rFonts w:cs="Arial"/>
          <w:sz w:val="20"/>
          <w:szCs w:val="20"/>
        </w:rPr>
        <w:t xml:space="preserve">The purpose of this document is to provide you with important information regarding the </w:t>
      </w:r>
      <w:bookmarkStart w:id="2" w:name="PlanName1"/>
      <w:bookmarkEnd w:id="2"/>
      <w:proofErr w:type="spellStart"/>
      <w:r w:rsidR="002406C9">
        <w:rPr>
          <w:rFonts w:cs="Arial"/>
          <w:sz w:val="20"/>
          <w:szCs w:val="20"/>
        </w:rPr>
        <w:t>FlexPEP</w:t>
      </w:r>
      <w:proofErr w:type="spellEnd"/>
      <w:r w:rsidR="002406C9">
        <w:rPr>
          <w:rFonts w:cs="Arial"/>
          <w:sz w:val="20"/>
          <w:szCs w:val="20"/>
        </w:rPr>
        <w:t>(b) Pooled Employer 403(b) Plan as adopted by Moosilauke Visions, Inc.</w:t>
      </w:r>
      <w:r w:rsidRPr="001C277A">
        <w:rPr>
          <w:rFonts w:cs="Arial"/>
          <w:sz w:val="20"/>
          <w:szCs w:val="20"/>
        </w:rPr>
        <w:t xml:space="preserve"> and the plan’s designated investment alternatives under the</w:t>
      </w:r>
      <w:r w:rsidR="003111EE" w:rsidRPr="001C277A">
        <w:rPr>
          <w:rFonts w:cs="Arial"/>
          <w:sz w:val="20"/>
          <w:szCs w:val="20"/>
        </w:rPr>
        <w:t xml:space="preserve"> </w:t>
      </w:r>
      <w:r w:rsidR="00F0780F" w:rsidRPr="001C277A">
        <w:rPr>
          <w:rFonts w:cs="Arial"/>
          <w:i/>
          <w:sz w:val="20"/>
          <w:szCs w:val="20"/>
        </w:rPr>
        <w:t>Lincoln Alliance</w:t>
      </w:r>
      <w:r w:rsidR="00F0780F" w:rsidRPr="001C277A">
        <w:rPr>
          <w:rFonts w:cs="Arial"/>
          <w:sz w:val="20"/>
          <w:szCs w:val="20"/>
          <w:vertAlign w:val="superscript"/>
        </w:rPr>
        <w:t>®</w:t>
      </w:r>
      <w:r w:rsidR="00F0780F" w:rsidRPr="001C277A">
        <w:rPr>
          <w:rFonts w:cs="Arial"/>
          <w:sz w:val="20"/>
          <w:szCs w:val="20"/>
        </w:rPr>
        <w:t xml:space="preserve"> program</w:t>
      </w:r>
      <w:r w:rsidR="003111EE" w:rsidRPr="001C277A">
        <w:rPr>
          <w:rFonts w:cs="Arial"/>
          <w:sz w:val="20"/>
          <w:szCs w:val="20"/>
        </w:rPr>
        <w:t>, including</w:t>
      </w:r>
      <w:r w:rsidR="00306F30" w:rsidRPr="001C277A">
        <w:rPr>
          <w:rFonts w:cs="Arial"/>
          <w:sz w:val="20"/>
          <w:szCs w:val="20"/>
        </w:rPr>
        <w:t xml:space="preserve"> </w:t>
      </w:r>
      <w:r w:rsidR="003111EE" w:rsidRPr="001C277A">
        <w:rPr>
          <w:rFonts w:cs="Arial"/>
          <w:sz w:val="20"/>
          <w:szCs w:val="20"/>
        </w:rPr>
        <w:t>fee and expense information, to help you compare investment options</w:t>
      </w:r>
      <w:r w:rsidR="000B0A09" w:rsidRPr="001C277A">
        <w:rPr>
          <w:rFonts w:cs="Arial"/>
          <w:sz w:val="20"/>
          <w:szCs w:val="20"/>
        </w:rPr>
        <w:t xml:space="preserve"> in accordance with Department of Labor (DOL) Regulation section 2550.404a-5 (“404(a) participant fee disclosure”).</w:t>
      </w:r>
    </w:p>
    <w:p w14:paraId="3700C117" w14:textId="77777777" w:rsidR="00306F30" w:rsidRPr="001C277A" w:rsidRDefault="00306F30" w:rsidP="00B94F0C">
      <w:pPr>
        <w:autoSpaceDE w:val="0"/>
        <w:autoSpaceDN w:val="0"/>
        <w:adjustRightInd w:val="0"/>
        <w:spacing w:after="0" w:line="240" w:lineRule="auto"/>
        <w:jc w:val="both"/>
        <w:rPr>
          <w:rFonts w:cs="Arial"/>
          <w:sz w:val="20"/>
          <w:szCs w:val="20"/>
        </w:rPr>
      </w:pPr>
    </w:p>
    <w:p w14:paraId="32FC581D" w14:textId="77777777" w:rsidR="003111EE" w:rsidRPr="001C277A" w:rsidRDefault="003111EE" w:rsidP="00B94F0C">
      <w:pPr>
        <w:autoSpaceDE w:val="0"/>
        <w:autoSpaceDN w:val="0"/>
        <w:adjustRightInd w:val="0"/>
        <w:spacing w:after="0" w:line="240" w:lineRule="auto"/>
        <w:jc w:val="both"/>
        <w:rPr>
          <w:rFonts w:cs="Arial"/>
          <w:iCs/>
          <w:sz w:val="20"/>
          <w:szCs w:val="20"/>
        </w:rPr>
      </w:pPr>
      <w:r w:rsidRPr="001C277A">
        <w:rPr>
          <w:rFonts w:cs="Arial"/>
          <w:sz w:val="20"/>
          <w:szCs w:val="20"/>
        </w:rPr>
        <w:t>Information presented throughout this entire document is specific to the plan’s designated investment alternatives</w:t>
      </w:r>
      <w:r w:rsidR="00306F30" w:rsidRPr="001C277A">
        <w:rPr>
          <w:rFonts w:cs="Arial"/>
          <w:sz w:val="20"/>
          <w:szCs w:val="20"/>
        </w:rPr>
        <w:t xml:space="preserve"> </w:t>
      </w:r>
      <w:r w:rsidRPr="001C277A">
        <w:rPr>
          <w:rFonts w:cs="Arial"/>
          <w:sz w:val="20"/>
          <w:szCs w:val="20"/>
        </w:rPr>
        <w:t xml:space="preserve">only under the </w:t>
      </w:r>
      <w:r w:rsidR="00F0780F" w:rsidRPr="001C277A">
        <w:rPr>
          <w:rFonts w:cs="Arial"/>
          <w:i/>
          <w:sz w:val="20"/>
          <w:szCs w:val="20"/>
        </w:rPr>
        <w:t>Lincoln Alliance</w:t>
      </w:r>
      <w:r w:rsidR="00F0780F" w:rsidRPr="001C277A">
        <w:rPr>
          <w:rFonts w:cs="Arial"/>
          <w:sz w:val="20"/>
          <w:szCs w:val="20"/>
        </w:rPr>
        <w:t xml:space="preserve"> program</w:t>
      </w:r>
      <w:r w:rsidRPr="001C277A">
        <w:rPr>
          <w:rFonts w:cs="Arial"/>
          <w:sz w:val="20"/>
          <w:szCs w:val="20"/>
        </w:rPr>
        <w:t xml:space="preserve">. Please contact </w:t>
      </w:r>
      <w:r w:rsidR="00306F30" w:rsidRPr="001C277A">
        <w:rPr>
          <w:rFonts w:cs="Arial"/>
          <w:sz w:val="20"/>
          <w:szCs w:val="20"/>
        </w:rPr>
        <w:t>your retirement</w:t>
      </w:r>
      <w:r w:rsidRPr="001C277A">
        <w:rPr>
          <w:rFonts w:cs="Arial"/>
          <w:sz w:val="20"/>
          <w:szCs w:val="20"/>
        </w:rPr>
        <w:t xml:space="preserve"> plan administrator</w:t>
      </w:r>
      <w:r w:rsidR="00306F30" w:rsidRPr="001C277A">
        <w:rPr>
          <w:rFonts w:cs="Arial"/>
          <w:sz w:val="20"/>
          <w:szCs w:val="20"/>
        </w:rPr>
        <w:t xml:space="preserve"> </w:t>
      </w:r>
      <w:r w:rsidRPr="001C277A">
        <w:rPr>
          <w:rFonts w:cs="Arial"/>
          <w:sz w:val="20"/>
          <w:szCs w:val="20"/>
        </w:rPr>
        <w:t>for more information.</w:t>
      </w:r>
    </w:p>
    <w:p w14:paraId="15CD1253" w14:textId="77777777" w:rsidR="00306F30" w:rsidRPr="001C277A" w:rsidRDefault="00306F30" w:rsidP="00B94F0C">
      <w:pPr>
        <w:autoSpaceDE w:val="0"/>
        <w:autoSpaceDN w:val="0"/>
        <w:adjustRightInd w:val="0"/>
        <w:spacing w:after="0" w:line="240" w:lineRule="auto"/>
        <w:jc w:val="both"/>
        <w:rPr>
          <w:rFonts w:cs="Arial"/>
          <w:sz w:val="20"/>
          <w:szCs w:val="20"/>
        </w:rPr>
      </w:pPr>
    </w:p>
    <w:p w14:paraId="7744C00F" w14:textId="225B7018" w:rsidR="003111EE" w:rsidRPr="001C277A" w:rsidRDefault="003111EE" w:rsidP="00B94F0C">
      <w:pPr>
        <w:autoSpaceDE w:val="0"/>
        <w:autoSpaceDN w:val="0"/>
        <w:adjustRightInd w:val="0"/>
        <w:spacing w:after="0" w:line="240" w:lineRule="auto"/>
        <w:jc w:val="both"/>
        <w:rPr>
          <w:rFonts w:cs="Arial"/>
          <w:sz w:val="20"/>
          <w:szCs w:val="20"/>
        </w:rPr>
      </w:pPr>
      <w:r w:rsidRPr="001C277A">
        <w:rPr>
          <w:rFonts w:cs="Arial"/>
          <w:sz w:val="20"/>
          <w:szCs w:val="20"/>
        </w:rPr>
        <w:t>If you would like additional information regarding your plan’s designated investment alternatives, you may visit the</w:t>
      </w:r>
      <w:r w:rsidR="00306F30" w:rsidRPr="001C277A">
        <w:rPr>
          <w:rFonts w:cs="Arial"/>
          <w:sz w:val="20"/>
          <w:szCs w:val="20"/>
        </w:rPr>
        <w:t xml:space="preserve"> </w:t>
      </w:r>
      <w:r w:rsidRPr="001C277A">
        <w:rPr>
          <w:rFonts w:cs="Arial"/>
          <w:sz w:val="20"/>
          <w:szCs w:val="20"/>
        </w:rPr>
        <w:t>specific website address</w:t>
      </w:r>
      <w:r w:rsidR="000B0A09" w:rsidRPr="001C277A">
        <w:rPr>
          <w:rFonts w:cs="Arial"/>
          <w:sz w:val="20"/>
          <w:szCs w:val="20"/>
        </w:rPr>
        <w:t>es</w:t>
      </w:r>
      <w:r w:rsidRPr="001C277A">
        <w:rPr>
          <w:rFonts w:cs="Arial"/>
          <w:sz w:val="20"/>
          <w:szCs w:val="20"/>
        </w:rPr>
        <w:t xml:space="preserve"> shown throughout this document or you may contact </w:t>
      </w:r>
      <w:r w:rsidR="00306F30" w:rsidRPr="001C277A">
        <w:rPr>
          <w:rFonts w:cs="Arial"/>
          <w:sz w:val="20"/>
          <w:szCs w:val="20"/>
        </w:rPr>
        <w:t xml:space="preserve">your retirement </w:t>
      </w:r>
      <w:r w:rsidRPr="001C277A">
        <w:rPr>
          <w:rFonts w:cs="Arial"/>
          <w:sz w:val="20"/>
          <w:szCs w:val="20"/>
        </w:rPr>
        <w:t xml:space="preserve">plan administrator at </w:t>
      </w:r>
      <w:r w:rsidR="00CA5932" w:rsidRPr="001C277A">
        <w:rPr>
          <w:rFonts w:cs="Arial"/>
          <w:sz w:val="20"/>
          <w:szCs w:val="20"/>
        </w:rPr>
        <w:t>603-353-9102</w:t>
      </w:r>
      <w:r w:rsidRPr="001C277A">
        <w:rPr>
          <w:rFonts w:cs="Arial"/>
          <w:sz w:val="20"/>
          <w:szCs w:val="20"/>
        </w:rPr>
        <w:t xml:space="preserve"> or </w:t>
      </w:r>
      <w:r w:rsidR="00CA5932" w:rsidRPr="001C277A">
        <w:rPr>
          <w:rFonts w:cs="Arial"/>
          <w:sz w:val="20"/>
          <w:szCs w:val="20"/>
        </w:rPr>
        <w:t>633 NH Route 10, Orford, NH 03777</w:t>
      </w:r>
      <w:r w:rsidRPr="001C277A">
        <w:rPr>
          <w:rFonts w:cs="Arial"/>
          <w:sz w:val="20"/>
          <w:szCs w:val="20"/>
        </w:rPr>
        <w:t>. A free paper copy of the information may be obtained by</w:t>
      </w:r>
      <w:r w:rsidR="00306F30" w:rsidRPr="001C277A">
        <w:rPr>
          <w:rFonts w:cs="Arial"/>
          <w:sz w:val="20"/>
          <w:szCs w:val="20"/>
        </w:rPr>
        <w:t xml:space="preserve"> </w:t>
      </w:r>
      <w:r w:rsidRPr="001C277A">
        <w:rPr>
          <w:rFonts w:cs="Arial"/>
          <w:sz w:val="20"/>
          <w:szCs w:val="20"/>
        </w:rPr>
        <w:t xml:space="preserve">contacting </w:t>
      </w:r>
      <w:r w:rsidR="00306F30" w:rsidRPr="001C277A">
        <w:rPr>
          <w:rFonts w:cs="Arial"/>
          <w:sz w:val="20"/>
          <w:szCs w:val="20"/>
        </w:rPr>
        <w:t xml:space="preserve">your retirement </w:t>
      </w:r>
      <w:r w:rsidRPr="001C277A">
        <w:rPr>
          <w:rFonts w:cs="Arial"/>
          <w:sz w:val="20"/>
          <w:szCs w:val="20"/>
        </w:rPr>
        <w:t xml:space="preserve">plan administrator at </w:t>
      </w:r>
      <w:r w:rsidR="00CA5932" w:rsidRPr="001C277A">
        <w:rPr>
          <w:rFonts w:cs="Arial"/>
          <w:sz w:val="20"/>
          <w:szCs w:val="20"/>
        </w:rPr>
        <w:t>603-353-9102</w:t>
      </w:r>
      <w:r w:rsidRPr="001C277A">
        <w:rPr>
          <w:rFonts w:cs="Arial"/>
          <w:sz w:val="20"/>
          <w:szCs w:val="20"/>
        </w:rPr>
        <w:t>.</w:t>
      </w:r>
    </w:p>
    <w:p w14:paraId="2388EB59" w14:textId="77777777" w:rsidR="00306F30" w:rsidRPr="001C277A" w:rsidRDefault="00306F30" w:rsidP="00B94F0C">
      <w:pPr>
        <w:autoSpaceDE w:val="0"/>
        <w:autoSpaceDN w:val="0"/>
        <w:adjustRightInd w:val="0"/>
        <w:spacing w:after="0" w:line="240" w:lineRule="auto"/>
        <w:jc w:val="both"/>
        <w:rPr>
          <w:rFonts w:cs="Arial"/>
          <w:sz w:val="20"/>
          <w:szCs w:val="20"/>
        </w:rPr>
      </w:pPr>
    </w:p>
    <w:p w14:paraId="56B97E63" w14:textId="77777777" w:rsidR="003111EE" w:rsidRPr="001C277A" w:rsidRDefault="003111EE" w:rsidP="00B94F0C">
      <w:pPr>
        <w:autoSpaceDE w:val="0"/>
        <w:autoSpaceDN w:val="0"/>
        <w:adjustRightInd w:val="0"/>
        <w:spacing w:after="0" w:line="240" w:lineRule="auto"/>
        <w:jc w:val="both"/>
        <w:rPr>
          <w:rFonts w:cs="Arial"/>
          <w:sz w:val="20"/>
          <w:szCs w:val="20"/>
        </w:rPr>
      </w:pPr>
      <w:r w:rsidRPr="001C277A">
        <w:rPr>
          <w:rFonts w:cs="Arial"/>
          <w:sz w:val="20"/>
          <w:szCs w:val="20"/>
        </w:rPr>
        <w:t xml:space="preserve">Every effort has been made to </w:t>
      </w:r>
      <w:r w:rsidR="00EB5AA6" w:rsidRPr="001C277A">
        <w:rPr>
          <w:rFonts w:cs="Arial"/>
          <w:sz w:val="20"/>
          <w:szCs w:val="20"/>
        </w:rPr>
        <w:t>ensure that</w:t>
      </w:r>
      <w:r w:rsidRPr="001C277A">
        <w:rPr>
          <w:rFonts w:cs="Arial"/>
          <w:sz w:val="20"/>
          <w:szCs w:val="20"/>
        </w:rPr>
        <w:t xml:space="preserve"> this disclosure </w:t>
      </w:r>
      <w:r w:rsidR="00EB5AA6" w:rsidRPr="001C277A">
        <w:rPr>
          <w:rFonts w:cs="Arial"/>
          <w:sz w:val="20"/>
          <w:szCs w:val="20"/>
        </w:rPr>
        <w:t xml:space="preserve">is </w:t>
      </w:r>
      <w:r w:rsidRPr="001C277A">
        <w:rPr>
          <w:rFonts w:cs="Arial"/>
          <w:sz w:val="20"/>
          <w:szCs w:val="20"/>
        </w:rPr>
        <w:t>as thorough and accurate as possible to reflect the legal</w:t>
      </w:r>
      <w:r w:rsidR="00306F30" w:rsidRPr="001C277A">
        <w:rPr>
          <w:rFonts w:cs="Arial"/>
          <w:sz w:val="20"/>
          <w:szCs w:val="20"/>
        </w:rPr>
        <w:t xml:space="preserve"> </w:t>
      </w:r>
      <w:r w:rsidRPr="001C277A">
        <w:rPr>
          <w:rFonts w:cs="Arial"/>
          <w:sz w:val="20"/>
          <w:szCs w:val="20"/>
        </w:rPr>
        <w:t>documents, laws, and regulations that govern the operation of the plan. In the event of any conflict, the terms of the</w:t>
      </w:r>
      <w:r w:rsidR="00306F30" w:rsidRPr="001C277A">
        <w:rPr>
          <w:rFonts w:cs="Arial"/>
          <w:sz w:val="20"/>
          <w:szCs w:val="20"/>
        </w:rPr>
        <w:t xml:space="preserve"> </w:t>
      </w:r>
      <w:r w:rsidRPr="001C277A">
        <w:rPr>
          <w:rFonts w:cs="Arial"/>
          <w:sz w:val="20"/>
          <w:szCs w:val="20"/>
        </w:rPr>
        <w:t>plan document, investment arrangements, applicable laws, and regulations will govern.</w:t>
      </w:r>
    </w:p>
    <w:p w14:paraId="253279A1" w14:textId="77777777" w:rsidR="00306F30" w:rsidRPr="001C277A" w:rsidRDefault="00306F30" w:rsidP="00B94F0C">
      <w:pPr>
        <w:autoSpaceDE w:val="0"/>
        <w:autoSpaceDN w:val="0"/>
        <w:adjustRightInd w:val="0"/>
        <w:spacing w:after="0" w:line="240" w:lineRule="auto"/>
        <w:jc w:val="both"/>
        <w:rPr>
          <w:rFonts w:cs="Arial"/>
          <w:sz w:val="20"/>
          <w:szCs w:val="20"/>
        </w:rPr>
      </w:pPr>
    </w:p>
    <w:p w14:paraId="1C70CAEA" w14:textId="77777777" w:rsidR="00306F30" w:rsidRPr="001C277A" w:rsidRDefault="00306F30" w:rsidP="00B94F0C">
      <w:pPr>
        <w:autoSpaceDE w:val="0"/>
        <w:autoSpaceDN w:val="0"/>
        <w:adjustRightInd w:val="0"/>
        <w:spacing w:after="0" w:line="240" w:lineRule="auto"/>
        <w:jc w:val="both"/>
        <w:rPr>
          <w:rFonts w:cs="Arial"/>
          <w:b/>
          <w:sz w:val="20"/>
          <w:szCs w:val="20"/>
        </w:rPr>
      </w:pPr>
      <w:r w:rsidRPr="001C277A">
        <w:rPr>
          <w:rFonts w:cs="Arial"/>
          <w:b/>
          <w:sz w:val="20"/>
          <w:szCs w:val="20"/>
        </w:rPr>
        <w:t>Document summary</w:t>
      </w:r>
    </w:p>
    <w:p w14:paraId="2E253A0B" w14:textId="77777777" w:rsidR="00F74622" w:rsidRPr="001C277A" w:rsidRDefault="00306F30" w:rsidP="00B94F0C">
      <w:pPr>
        <w:autoSpaceDE w:val="0"/>
        <w:autoSpaceDN w:val="0"/>
        <w:adjustRightInd w:val="0"/>
        <w:spacing w:after="120" w:line="240" w:lineRule="auto"/>
        <w:jc w:val="both"/>
        <w:rPr>
          <w:rFonts w:cs="Arial"/>
          <w:sz w:val="20"/>
        </w:rPr>
      </w:pPr>
      <w:r w:rsidRPr="001C277A">
        <w:rPr>
          <w:rFonts w:cs="Arial"/>
          <w:sz w:val="20"/>
        </w:rPr>
        <w:t xml:space="preserve">There are several sections that comprise the </w:t>
      </w:r>
      <w:proofErr w:type="gramStart"/>
      <w:r w:rsidRPr="001C277A">
        <w:rPr>
          <w:rFonts w:cs="Arial"/>
          <w:sz w:val="20"/>
        </w:rPr>
        <w:t>4</w:t>
      </w:r>
      <w:r w:rsidR="00295197" w:rsidRPr="001C277A">
        <w:rPr>
          <w:rFonts w:cs="Arial"/>
          <w:sz w:val="20"/>
        </w:rPr>
        <w:t>04(a) participant</w:t>
      </w:r>
      <w:proofErr w:type="gramEnd"/>
      <w:r w:rsidR="00295197" w:rsidRPr="001C277A">
        <w:rPr>
          <w:rFonts w:cs="Arial"/>
          <w:sz w:val="20"/>
        </w:rPr>
        <w:t xml:space="preserve"> fee disclosure:</w:t>
      </w:r>
    </w:p>
    <w:p w14:paraId="653072F6" w14:textId="77777777" w:rsidR="003111EE" w:rsidRPr="001C277A" w:rsidRDefault="00306F30" w:rsidP="00B94F0C">
      <w:pPr>
        <w:numPr>
          <w:ilvl w:val="0"/>
          <w:numId w:val="5"/>
        </w:numPr>
        <w:autoSpaceDE w:val="0"/>
        <w:autoSpaceDN w:val="0"/>
        <w:adjustRightInd w:val="0"/>
        <w:spacing w:after="60" w:line="240" w:lineRule="auto"/>
        <w:ind w:left="0" w:hanging="270"/>
        <w:jc w:val="both"/>
        <w:rPr>
          <w:rFonts w:cs="Arial"/>
          <w:sz w:val="20"/>
        </w:rPr>
      </w:pPr>
      <w:r w:rsidRPr="001C277A">
        <w:rPr>
          <w:rFonts w:cs="Arial"/>
          <w:b/>
          <w:sz w:val="20"/>
        </w:rPr>
        <w:t xml:space="preserve">General </w:t>
      </w:r>
      <w:r w:rsidR="008036C5" w:rsidRPr="001C277A">
        <w:rPr>
          <w:rFonts w:cs="Arial"/>
          <w:b/>
          <w:sz w:val="20"/>
        </w:rPr>
        <w:t xml:space="preserve">plan </w:t>
      </w:r>
      <w:r w:rsidRPr="001C277A">
        <w:rPr>
          <w:rFonts w:cs="Arial"/>
          <w:b/>
          <w:sz w:val="20"/>
        </w:rPr>
        <w:t>information section</w:t>
      </w:r>
      <w:r w:rsidR="003111EE" w:rsidRPr="001C277A">
        <w:rPr>
          <w:rFonts w:cs="Arial"/>
          <w:sz w:val="20"/>
        </w:rPr>
        <w:t xml:space="preserve"> provides general information regarding </w:t>
      </w:r>
      <w:r w:rsidR="000B0A09" w:rsidRPr="001C277A">
        <w:rPr>
          <w:rFonts w:cs="Arial"/>
          <w:sz w:val="20"/>
        </w:rPr>
        <w:t xml:space="preserve">plan features and </w:t>
      </w:r>
      <w:r w:rsidR="003111EE" w:rsidRPr="001C277A">
        <w:rPr>
          <w:rFonts w:cs="Arial"/>
          <w:sz w:val="20"/>
        </w:rPr>
        <w:t>designated investment alternatives, such as an explanation of</w:t>
      </w:r>
      <w:r w:rsidRPr="001C277A">
        <w:rPr>
          <w:rFonts w:cs="Arial"/>
          <w:sz w:val="20"/>
        </w:rPr>
        <w:t xml:space="preserve"> </w:t>
      </w:r>
      <w:r w:rsidR="003111EE" w:rsidRPr="001C277A">
        <w:rPr>
          <w:rFonts w:cs="Arial"/>
          <w:sz w:val="20"/>
        </w:rPr>
        <w:t xml:space="preserve">how to give investment instructions </w:t>
      </w:r>
      <w:bookmarkStart w:id="3" w:name="addSDBA"/>
      <w:bookmarkEnd w:id="3"/>
      <w:r w:rsidRPr="001C277A">
        <w:rPr>
          <w:rFonts w:cs="Arial"/>
          <w:sz w:val="20"/>
        </w:rPr>
        <w:t>if applicable</w:t>
      </w:r>
      <w:r w:rsidR="00E87D31" w:rsidRPr="001C277A">
        <w:rPr>
          <w:rFonts w:cs="Arial"/>
          <w:sz w:val="20"/>
        </w:rPr>
        <w:t>.</w:t>
      </w:r>
    </w:p>
    <w:p w14:paraId="6CCD050F" w14:textId="77777777" w:rsidR="00CA5932" w:rsidRPr="001C277A" w:rsidRDefault="008036C5" w:rsidP="00CA5932">
      <w:pPr>
        <w:numPr>
          <w:ilvl w:val="0"/>
          <w:numId w:val="5"/>
        </w:numPr>
        <w:autoSpaceDE w:val="0"/>
        <w:autoSpaceDN w:val="0"/>
        <w:adjustRightInd w:val="0"/>
        <w:spacing w:after="60" w:line="240" w:lineRule="auto"/>
        <w:ind w:left="0" w:hanging="270"/>
        <w:jc w:val="both"/>
        <w:rPr>
          <w:rFonts w:cs="Arial"/>
          <w:b/>
          <w:sz w:val="20"/>
        </w:rPr>
      </w:pPr>
      <w:bookmarkStart w:id="4" w:name="DltTPAblt"/>
      <w:bookmarkEnd w:id="4"/>
      <w:r w:rsidRPr="001C277A">
        <w:rPr>
          <w:rFonts w:cs="Arial"/>
          <w:b/>
          <w:sz w:val="20"/>
        </w:rPr>
        <w:t>Plan fees and expenses</w:t>
      </w:r>
    </w:p>
    <w:p w14:paraId="3AD7E682" w14:textId="7762E6B8" w:rsidR="003111EE" w:rsidRPr="001C277A" w:rsidRDefault="00C033A5" w:rsidP="00CA5932">
      <w:pPr>
        <w:numPr>
          <w:ilvl w:val="1"/>
          <w:numId w:val="5"/>
        </w:numPr>
        <w:autoSpaceDE w:val="0"/>
        <w:autoSpaceDN w:val="0"/>
        <w:adjustRightInd w:val="0"/>
        <w:spacing w:after="60" w:line="240" w:lineRule="auto"/>
        <w:jc w:val="both"/>
        <w:rPr>
          <w:rFonts w:cs="Arial"/>
          <w:b/>
          <w:sz w:val="20"/>
        </w:rPr>
      </w:pPr>
      <w:r w:rsidRPr="001C277A">
        <w:rPr>
          <w:rFonts w:cs="Arial"/>
          <w:b/>
          <w:sz w:val="20"/>
        </w:rPr>
        <w:t>Individual participant fees</w:t>
      </w:r>
      <w:r w:rsidR="003111EE" w:rsidRPr="001C277A">
        <w:rPr>
          <w:rFonts w:cs="Arial"/>
          <w:b/>
          <w:sz w:val="20"/>
        </w:rPr>
        <w:t xml:space="preserve"> </w:t>
      </w:r>
      <w:r w:rsidRPr="001C277A">
        <w:rPr>
          <w:rFonts w:cs="Arial"/>
          <w:b/>
          <w:sz w:val="20"/>
        </w:rPr>
        <w:t>section</w:t>
      </w:r>
      <w:r w:rsidRPr="001C277A">
        <w:rPr>
          <w:rFonts w:cs="Arial"/>
          <w:sz w:val="20"/>
        </w:rPr>
        <w:t xml:space="preserve"> </w:t>
      </w:r>
      <w:r w:rsidR="003111EE" w:rsidRPr="001C277A">
        <w:rPr>
          <w:rFonts w:cs="Arial"/>
          <w:sz w:val="20"/>
        </w:rPr>
        <w:t>provides an explanation of any fees and expenses that may be charged to or deducted from your</w:t>
      </w:r>
      <w:r w:rsidR="00306F30" w:rsidRPr="001C277A">
        <w:rPr>
          <w:rFonts w:cs="Arial"/>
          <w:sz w:val="20"/>
        </w:rPr>
        <w:t xml:space="preserve"> </w:t>
      </w:r>
      <w:r w:rsidR="003111EE" w:rsidRPr="001C277A">
        <w:rPr>
          <w:rFonts w:cs="Arial"/>
          <w:sz w:val="20"/>
        </w:rPr>
        <w:t>retirement account based on the actions taken</w:t>
      </w:r>
      <w:r w:rsidR="00EB5AA6" w:rsidRPr="001C277A">
        <w:rPr>
          <w:rFonts w:cs="Arial"/>
          <w:sz w:val="20"/>
        </w:rPr>
        <w:t xml:space="preserve"> by you</w:t>
      </w:r>
      <w:r w:rsidR="003111EE" w:rsidRPr="001C277A">
        <w:rPr>
          <w:rFonts w:cs="Arial"/>
          <w:sz w:val="20"/>
        </w:rPr>
        <w:t xml:space="preserve">. Examples </w:t>
      </w:r>
      <w:r w:rsidRPr="001C277A">
        <w:rPr>
          <w:rFonts w:cs="Arial"/>
          <w:sz w:val="20"/>
        </w:rPr>
        <w:t xml:space="preserve">may </w:t>
      </w:r>
      <w:r w:rsidR="003111EE" w:rsidRPr="001C277A">
        <w:rPr>
          <w:rFonts w:cs="Arial"/>
          <w:sz w:val="20"/>
        </w:rPr>
        <w:t>include fees and expenses for plan loans</w:t>
      </w:r>
      <w:r w:rsidR="00306F30" w:rsidRPr="001C277A">
        <w:rPr>
          <w:rFonts w:cs="Arial"/>
          <w:sz w:val="20"/>
        </w:rPr>
        <w:t xml:space="preserve"> </w:t>
      </w:r>
      <w:r w:rsidR="003111EE" w:rsidRPr="001C277A">
        <w:rPr>
          <w:rFonts w:cs="Arial"/>
          <w:sz w:val="20"/>
        </w:rPr>
        <w:t xml:space="preserve">and for processing </w:t>
      </w:r>
      <w:r w:rsidR="00713CC4" w:rsidRPr="001C277A">
        <w:rPr>
          <w:rFonts w:cs="Arial"/>
          <w:sz w:val="20"/>
        </w:rPr>
        <w:t>surrender charges</w:t>
      </w:r>
      <w:r w:rsidRPr="001C277A">
        <w:rPr>
          <w:rFonts w:cs="Arial"/>
          <w:sz w:val="20"/>
        </w:rPr>
        <w:t>, if applicable</w:t>
      </w:r>
      <w:r w:rsidR="003111EE" w:rsidRPr="001C277A">
        <w:rPr>
          <w:rFonts w:cs="Arial"/>
          <w:sz w:val="20"/>
        </w:rPr>
        <w:t>.</w:t>
      </w:r>
      <w:r w:rsidR="0095522A" w:rsidRPr="001C277A">
        <w:rPr>
          <w:rFonts w:cs="Arial"/>
          <w:sz w:val="20"/>
        </w:rPr>
        <w:t xml:space="preserve"> </w:t>
      </w:r>
    </w:p>
    <w:p w14:paraId="07B2E1A5" w14:textId="77777777" w:rsidR="00B94F0C" w:rsidRPr="001C277A" w:rsidRDefault="00C033A5" w:rsidP="00901A12">
      <w:pPr>
        <w:pStyle w:val="ListParagraph"/>
        <w:numPr>
          <w:ilvl w:val="0"/>
          <w:numId w:val="9"/>
        </w:numPr>
        <w:spacing w:after="0" w:line="240" w:lineRule="auto"/>
        <w:ind w:left="0" w:hanging="274"/>
        <w:jc w:val="both"/>
        <w:rPr>
          <w:rFonts w:cs="Arial"/>
          <w:b/>
          <w:bCs/>
          <w:sz w:val="20"/>
          <w:szCs w:val="20"/>
        </w:rPr>
      </w:pPr>
      <w:r w:rsidRPr="001C277A">
        <w:rPr>
          <w:rFonts w:cs="Arial"/>
          <w:b/>
          <w:sz w:val="20"/>
        </w:rPr>
        <w:t>Comparative charts</w:t>
      </w:r>
      <w:r w:rsidR="003111EE" w:rsidRPr="001C277A">
        <w:rPr>
          <w:rFonts w:cs="Arial"/>
          <w:sz w:val="20"/>
        </w:rPr>
        <w:t xml:space="preserve"> </w:t>
      </w:r>
      <w:r w:rsidRPr="001C277A">
        <w:rPr>
          <w:rFonts w:cs="Arial"/>
          <w:sz w:val="20"/>
        </w:rPr>
        <w:t xml:space="preserve">provide </w:t>
      </w:r>
      <w:r w:rsidR="003111EE" w:rsidRPr="001C277A">
        <w:rPr>
          <w:rFonts w:cs="Arial"/>
          <w:sz w:val="20"/>
        </w:rPr>
        <w:t xml:space="preserve">a current list of the investment options with performance </w:t>
      </w:r>
      <w:r w:rsidR="000B0A09" w:rsidRPr="001C277A">
        <w:rPr>
          <w:rFonts w:cs="Arial"/>
          <w:sz w:val="20"/>
        </w:rPr>
        <w:t xml:space="preserve">and fee </w:t>
      </w:r>
      <w:r w:rsidR="003111EE" w:rsidRPr="001C277A">
        <w:rPr>
          <w:rFonts w:cs="Arial"/>
          <w:sz w:val="20"/>
        </w:rPr>
        <w:t>information for designated</w:t>
      </w:r>
      <w:r w:rsidR="00306F30" w:rsidRPr="001C277A">
        <w:rPr>
          <w:rFonts w:cs="Arial"/>
          <w:sz w:val="20"/>
        </w:rPr>
        <w:t xml:space="preserve"> </w:t>
      </w:r>
      <w:r w:rsidR="003111EE" w:rsidRPr="001C277A">
        <w:rPr>
          <w:rFonts w:cs="Arial"/>
          <w:sz w:val="20"/>
        </w:rPr>
        <w:t>investment alternatives in comparative chart format.</w:t>
      </w:r>
    </w:p>
    <w:p w14:paraId="7487374D" w14:textId="77777777" w:rsidR="00901A12" w:rsidRPr="001C277A" w:rsidRDefault="00901A12" w:rsidP="00901A12">
      <w:pPr>
        <w:spacing w:after="0" w:line="240" w:lineRule="auto"/>
        <w:jc w:val="both"/>
        <w:rPr>
          <w:rFonts w:cs="Arial"/>
          <w:b/>
          <w:bCs/>
          <w:sz w:val="20"/>
          <w:szCs w:val="20"/>
        </w:rPr>
      </w:pPr>
    </w:p>
    <w:p w14:paraId="0261864E" w14:textId="77777777" w:rsidR="00C033A5" w:rsidRPr="001C277A" w:rsidRDefault="00C033A5" w:rsidP="00B94F0C">
      <w:pPr>
        <w:spacing w:after="120" w:line="240" w:lineRule="auto"/>
        <w:jc w:val="both"/>
        <w:rPr>
          <w:rFonts w:cs="Arial"/>
          <w:sz w:val="20"/>
          <w:szCs w:val="20"/>
        </w:rPr>
      </w:pPr>
      <w:r w:rsidRPr="001C277A">
        <w:rPr>
          <w:rFonts w:cs="Arial"/>
          <w:b/>
          <w:bCs/>
          <w:sz w:val="20"/>
          <w:szCs w:val="20"/>
        </w:rPr>
        <w:t xml:space="preserve">General </w:t>
      </w:r>
      <w:r w:rsidR="008036C5" w:rsidRPr="001C277A">
        <w:rPr>
          <w:rFonts w:cs="Arial"/>
          <w:b/>
          <w:bCs/>
          <w:sz w:val="20"/>
          <w:szCs w:val="20"/>
        </w:rPr>
        <w:t xml:space="preserve">plan </w:t>
      </w:r>
      <w:r w:rsidRPr="001C277A">
        <w:rPr>
          <w:rFonts w:cs="Arial"/>
          <w:b/>
          <w:bCs/>
          <w:sz w:val="20"/>
          <w:szCs w:val="20"/>
        </w:rPr>
        <w:t>information</w:t>
      </w:r>
    </w:p>
    <w:p w14:paraId="7269FF3A" w14:textId="77777777" w:rsidR="00306F30" w:rsidRPr="001C277A" w:rsidRDefault="00C033A5" w:rsidP="00B94F0C">
      <w:pPr>
        <w:autoSpaceDE w:val="0"/>
        <w:autoSpaceDN w:val="0"/>
        <w:adjustRightInd w:val="0"/>
        <w:spacing w:after="120" w:line="240" w:lineRule="auto"/>
        <w:rPr>
          <w:rFonts w:cs="Arial"/>
          <w:sz w:val="20"/>
          <w:szCs w:val="20"/>
        </w:rPr>
      </w:pPr>
      <w:r w:rsidRPr="001C277A">
        <w:rPr>
          <w:rFonts w:cs="Arial"/>
          <w:sz w:val="20"/>
          <w:szCs w:val="20"/>
        </w:rPr>
        <w:t>To d</w:t>
      </w:r>
      <w:r w:rsidR="00306F30" w:rsidRPr="001C277A">
        <w:rPr>
          <w:rFonts w:cs="Arial"/>
          <w:sz w:val="20"/>
          <w:szCs w:val="20"/>
        </w:rPr>
        <w:t xml:space="preserve">irect your designated investment alternatives for the </w:t>
      </w:r>
      <w:r w:rsidR="00044A56" w:rsidRPr="001C277A">
        <w:rPr>
          <w:rFonts w:cs="Arial"/>
          <w:iCs/>
          <w:sz w:val="20"/>
          <w:szCs w:val="20"/>
        </w:rPr>
        <w:t>plan</w:t>
      </w:r>
      <w:r w:rsidR="00306F30" w:rsidRPr="001C277A">
        <w:rPr>
          <w:rFonts w:cs="Arial"/>
          <w:sz w:val="20"/>
          <w:szCs w:val="20"/>
        </w:rPr>
        <w:t>:</w:t>
      </w:r>
    </w:p>
    <w:p w14:paraId="67714A4F" w14:textId="77777777" w:rsidR="00306F30" w:rsidRPr="001C277A" w:rsidRDefault="00C033A5" w:rsidP="00B94F0C">
      <w:pPr>
        <w:autoSpaceDE w:val="0"/>
        <w:autoSpaceDN w:val="0"/>
        <w:adjustRightInd w:val="0"/>
        <w:spacing w:after="120" w:line="240" w:lineRule="auto"/>
        <w:jc w:val="both"/>
        <w:rPr>
          <w:rFonts w:cs="Arial"/>
          <w:color w:val="000000"/>
          <w:sz w:val="20"/>
          <w:szCs w:val="20"/>
        </w:rPr>
      </w:pPr>
      <w:r w:rsidRPr="001C277A">
        <w:rPr>
          <w:rFonts w:cs="Arial"/>
          <w:sz w:val="20"/>
          <w:szCs w:val="20"/>
        </w:rPr>
        <w:t xml:space="preserve">For </w:t>
      </w:r>
      <w:r w:rsidR="00306F30" w:rsidRPr="001C277A">
        <w:rPr>
          <w:rFonts w:cs="Arial"/>
          <w:sz w:val="20"/>
          <w:szCs w:val="20"/>
        </w:rPr>
        <w:t>initial enrollment,</w:t>
      </w:r>
      <w:r w:rsidR="00306F30" w:rsidRPr="001C277A">
        <w:rPr>
          <w:rFonts w:cs="Arial"/>
          <w:color w:val="000000"/>
          <w:sz w:val="20"/>
          <w:szCs w:val="20"/>
        </w:rPr>
        <w:t xml:space="preserve"> you may </w:t>
      </w:r>
      <w:r w:rsidRPr="001C277A">
        <w:rPr>
          <w:rFonts w:cs="Arial"/>
          <w:color w:val="000000"/>
          <w:sz w:val="20"/>
          <w:szCs w:val="20"/>
        </w:rPr>
        <w:t>enroll by completing the materials and returning them as indicated on the documents</w:t>
      </w:r>
      <w:r w:rsidR="00F42F39" w:rsidRPr="001C277A">
        <w:rPr>
          <w:rFonts w:cs="Arial"/>
          <w:color w:val="000000"/>
          <w:sz w:val="20"/>
          <w:szCs w:val="20"/>
        </w:rPr>
        <w:t xml:space="preserve"> provided during the enrollment process</w:t>
      </w:r>
      <w:r w:rsidRPr="001C277A">
        <w:rPr>
          <w:rFonts w:cs="Arial"/>
          <w:color w:val="000000"/>
          <w:sz w:val="20"/>
          <w:szCs w:val="20"/>
        </w:rPr>
        <w:t>.</w:t>
      </w:r>
    </w:p>
    <w:p w14:paraId="003C9B62"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Existing participants may update elections by:</w:t>
      </w:r>
    </w:p>
    <w:p w14:paraId="3021BA8C"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8"/>
          <w:szCs w:val="28"/>
        </w:rPr>
        <w:t xml:space="preserve">• </w:t>
      </w:r>
      <w:r w:rsidRPr="001C277A">
        <w:rPr>
          <w:rFonts w:cs="Arial"/>
          <w:color w:val="000000"/>
          <w:sz w:val="20"/>
          <w:szCs w:val="20"/>
        </w:rPr>
        <w:t xml:space="preserve">Visiting </w:t>
      </w:r>
      <w:r w:rsidR="00C033A5" w:rsidRPr="001C277A">
        <w:rPr>
          <w:rFonts w:cs="Arial"/>
          <w:color w:val="000000"/>
          <w:sz w:val="20"/>
          <w:szCs w:val="20"/>
        </w:rPr>
        <w:t>LincolnFinancial.com</w:t>
      </w:r>
      <w:r w:rsidRPr="001C277A">
        <w:rPr>
          <w:rFonts w:cs="Arial"/>
          <w:color w:val="000000"/>
          <w:sz w:val="20"/>
          <w:szCs w:val="20"/>
        </w:rPr>
        <w:t>, or</w:t>
      </w:r>
    </w:p>
    <w:p w14:paraId="18FE4C54"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8"/>
          <w:szCs w:val="28"/>
        </w:rPr>
        <w:t xml:space="preserve">• </w:t>
      </w:r>
      <w:r w:rsidRPr="001C277A">
        <w:rPr>
          <w:rFonts w:cs="Arial"/>
          <w:color w:val="000000"/>
          <w:sz w:val="20"/>
          <w:szCs w:val="20"/>
        </w:rPr>
        <w:t xml:space="preserve">Calling the Lincoln Customer Contact Center at </w:t>
      </w:r>
      <w:r w:rsidR="004C60CF" w:rsidRPr="001C277A">
        <w:rPr>
          <w:rFonts w:cs="Arial"/>
          <w:color w:val="000000"/>
          <w:sz w:val="20"/>
          <w:szCs w:val="20"/>
        </w:rPr>
        <w:t>800-234-3500</w:t>
      </w:r>
    </w:p>
    <w:p w14:paraId="6EC2EE9B" w14:textId="77777777" w:rsidR="0019689B" w:rsidRPr="001C277A" w:rsidRDefault="0019689B" w:rsidP="00B94F0C">
      <w:pPr>
        <w:autoSpaceDE w:val="0"/>
        <w:autoSpaceDN w:val="0"/>
        <w:adjustRightInd w:val="0"/>
        <w:spacing w:after="0" w:line="240" w:lineRule="auto"/>
        <w:jc w:val="both"/>
        <w:rPr>
          <w:rFonts w:cs="Arial"/>
          <w:color w:val="000000"/>
          <w:sz w:val="20"/>
          <w:szCs w:val="20"/>
        </w:rPr>
      </w:pPr>
    </w:p>
    <w:p w14:paraId="4748A413"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You may change your elections at any time; transfers are effective the same business day provided</w:t>
      </w:r>
      <w:r w:rsidR="00F95D75" w:rsidRPr="001C277A">
        <w:rPr>
          <w:rFonts w:cs="Arial"/>
          <w:color w:val="000000"/>
          <w:sz w:val="20"/>
          <w:szCs w:val="20"/>
        </w:rPr>
        <w:t xml:space="preserve"> the markets are open and</w:t>
      </w:r>
      <w:r w:rsidRPr="001C277A">
        <w:rPr>
          <w:rFonts w:cs="Arial"/>
          <w:color w:val="000000"/>
          <w:sz w:val="20"/>
          <w:szCs w:val="20"/>
        </w:rPr>
        <w:t xml:space="preserve"> instructions are received before 4:00 p</w:t>
      </w:r>
      <w:r w:rsidR="00463CFA" w:rsidRPr="001C277A">
        <w:rPr>
          <w:rFonts w:cs="Arial"/>
          <w:color w:val="000000"/>
          <w:sz w:val="20"/>
          <w:szCs w:val="20"/>
        </w:rPr>
        <w:t>.</w:t>
      </w:r>
      <w:r w:rsidRPr="001C277A">
        <w:rPr>
          <w:rFonts w:cs="Arial"/>
          <w:color w:val="000000"/>
          <w:sz w:val="20"/>
          <w:szCs w:val="20"/>
        </w:rPr>
        <w:t>m</w:t>
      </w:r>
      <w:r w:rsidR="00463CFA" w:rsidRPr="001C277A">
        <w:rPr>
          <w:rFonts w:cs="Arial"/>
          <w:color w:val="000000"/>
          <w:sz w:val="20"/>
          <w:szCs w:val="20"/>
        </w:rPr>
        <w:t>.</w:t>
      </w:r>
      <w:r w:rsidRPr="001C277A">
        <w:rPr>
          <w:rFonts w:cs="Arial"/>
          <w:color w:val="000000"/>
          <w:sz w:val="20"/>
          <w:szCs w:val="20"/>
        </w:rPr>
        <w:t xml:space="preserve"> Eastern Time.</w:t>
      </w:r>
    </w:p>
    <w:p w14:paraId="48CB38CE" w14:textId="77777777" w:rsidR="00C033A5" w:rsidRPr="001C277A" w:rsidRDefault="00C033A5" w:rsidP="00B94F0C">
      <w:pPr>
        <w:autoSpaceDE w:val="0"/>
        <w:autoSpaceDN w:val="0"/>
        <w:adjustRightInd w:val="0"/>
        <w:spacing w:after="0" w:line="240" w:lineRule="auto"/>
        <w:jc w:val="both"/>
        <w:rPr>
          <w:rFonts w:cs="Arial"/>
          <w:color w:val="000000"/>
          <w:sz w:val="20"/>
          <w:szCs w:val="20"/>
        </w:rPr>
      </w:pPr>
    </w:p>
    <w:p w14:paraId="68EAC301" w14:textId="77777777" w:rsidR="00CA5932" w:rsidRPr="001C277A" w:rsidRDefault="00CA5932">
      <w:pPr>
        <w:rPr>
          <w:rFonts w:cs="Arial"/>
          <w:color w:val="000000"/>
          <w:sz w:val="20"/>
          <w:szCs w:val="20"/>
        </w:rPr>
      </w:pPr>
      <w:r w:rsidRPr="001C277A">
        <w:rPr>
          <w:rFonts w:cs="Arial"/>
          <w:color w:val="000000"/>
          <w:sz w:val="20"/>
          <w:szCs w:val="20"/>
        </w:rPr>
        <w:br w:type="page"/>
      </w:r>
    </w:p>
    <w:p w14:paraId="374F10C0" w14:textId="28E80A95"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lastRenderedPageBreak/>
        <w:t xml:space="preserve">The </w:t>
      </w:r>
      <w:r w:rsidR="00F0780F" w:rsidRPr="001C277A">
        <w:rPr>
          <w:rFonts w:cs="Arial"/>
          <w:i/>
          <w:sz w:val="20"/>
          <w:szCs w:val="20"/>
        </w:rPr>
        <w:t>Lincoln Alliance</w:t>
      </w:r>
      <w:r w:rsidR="00F0780F" w:rsidRPr="001C277A">
        <w:rPr>
          <w:rFonts w:cs="Arial"/>
          <w:sz w:val="20"/>
          <w:szCs w:val="20"/>
        </w:rPr>
        <w:t xml:space="preserve"> program</w:t>
      </w:r>
      <w:r w:rsidR="00870215" w:rsidRPr="001C277A">
        <w:rPr>
          <w:rFonts w:cs="Arial"/>
          <w:sz w:val="20"/>
          <w:szCs w:val="20"/>
        </w:rPr>
        <w:t xml:space="preserve"> </w:t>
      </w:r>
      <w:r w:rsidR="002C0C66" w:rsidRPr="001C277A">
        <w:rPr>
          <w:rFonts w:cs="Arial"/>
          <w:color w:val="000000"/>
          <w:sz w:val="20"/>
          <w:szCs w:val="20"/>
        </w:rPr>
        <w:t>may</w:t>
      </w:r>
      <w:r w:rsidRPr="001C277A">
        <w:rPr>
          <w:rFonts w:cs="Arial"/>
          <w:color w:val="000000"/>
          <w:sz w:val="20"/>
          <w:szCs w:val="20"/>
        </w:rPr>
        <w:t xml:space="preserve"> restrict the number of transfers you may make among designated investment alternatives within the product </w:t>
      </w:r>
      <w:proofErr w:type="gramStart"/>
      <w:r w:rsidRPr="001C277A">
        <w:rPr>
          <w:rFonts w:cs="Arial"/>
          <w:color w:val="000000"/>
          <w:sz w:val="20"/>
          <w:szCs w:val="20"/>
        </w:rPr>
        <w:t>in a given</w:t>
      </w:r>
      <w:proofErr w:type="gramEnd"/>
      <w:r w:rsidRPr="001C277A">
        <w:rPr>
          <w:rFonts w:cs="Arial"/>
          <w:color w:val="000000"/>
          <w:sz w:val="20"/>
          <w:szCs w:val="20"/>
        </w:rPr>
        <w:t xml:space="preserve"> </w:t>
      </w:r>
      <w:r w:rsidR="00881F75" w:rsidRPr="001C277A">
        <w:rPr>
          <w:rFonts w:cs="Arial"/>
          <w:color w:val="000000"/>
          <w:sz w:val="20"/>
          <w:szCs w:val="20"/>
        </w:rPr>
        <w:t>time period</w:t>
      </w:r>
      <w:r w:rsidRPr="001C277A">
        <w:rPr>
          <w:rFonts w:cs="Arial"/>
          <w:color w:val="000000"/>
          <w:sz w:val="20"/>
          <w:szCs w:val="20"/>
        </w:rPr>
        <w:t>. An investment option may apply a redemption fee or restrict certain transfers.</w:t>
      </w:r>
      <w:r w:rsidR="00C033A5" w:rsidRPr="001C277A">
        <w:rPr>
          <w:rFonts w:cs="Arial"/>
          <w:color w:val="000000"/>
          <w:sz w:val="20"/>
          <w:szCs w:val="20"/>
        </w:rPr>
        <w:t xml:space="preserve"> However, </w:t>
      </w:r>
      <w:r w:rsidR="00CE6925" w:rsidRPr="001C277A">
        <w:rPr>
          <w:rFonts w:cs="Arial"/>
          <w:color w:val="000000"/>
          <w:sz w:val="20"/>
          <w:szCs w:val="20"/>
        </w:rPr>
        <w:t>t</w:t>
      </w:r>
      <w:r w:rsidR="00C033A5" w:rsidRPr="001C277A">
        <w:rPr>
          <w:rFonts w:cs="Arial"/>
          <w:color w:val="000000"/>
          <w:sz w:val="20"/>
          <w:szCs w:val="20"/>
        </w:rPr>
        <w:t xml:space="preserve">ransactions associated with market timing </w:t>
      </w:r>
      <w:r w:rsidR="00EB5AA6" w:rsidRPr="001C277A">
        <w:rPr>
          <w:rFonts w:cs="Arial"/>
          <w:color w:val="000000"/>
          <w:sz w:val="20"/>
          <w:szCs w:val="20"/>
        </w:rPr>
        <w:t>–</w:t>
      </w:r>
      <w:r w:rsidR="00C033A5" w:rsidRPr="001C277A">
        <w:rPr>
          <w:rFonts w:cs="Arial"/>
          <w:color w:val="000000"/>
          <w:sz w:val="20"/>
          <w:szCs w:val="20"/>
        </w:rPr>
        <w:t xml:space="preserve"> such as frequent, large, or short-term transfers among investment options </w:t>
      </w:r>
      <w:r w:rsidR="00EB5AA6" w:rsidRPr="001C277A">
        <w:rPr>
          <w:rFonts w:cs="Arial"/>
          <w:color w:val="000000"/>
          <w:sz w:val="20"/>
          <w:szCs w:val="20"/>
        </w:rPr>
        <w:t>–</w:t>
      </w:r>
      <w:r w:rsidR="00C033A5" w:rsidRPr="001C277A">
        <w:rPr>
          <w:rFonts w:cs="Arial"/>
          <w:color w:val="000000"/>
          <w:sz w:val="20"/>
          <w:szCs w:val="20"/>
        </w:rPr>
        <w:t xml:space="preserve"> can affect the underlying funds and their investments. Lincoln therefore reviews the number of transfers that a participant makes within given periods of time to determine if any transfer attempts to capitalize upon short-term movements in the equity markets (</w:t>
      </w:r>
      <w:r w:rsidR="00EB5AA6" w:rsidRPr="001C277A">
        <w:rPr>
          <w:rFonts w:cs="Arial"/>
          <w:color w:val="000000"/>
          <w:sz w:val="20"/>
          <w:szCs w:val="20"/>
        </w:rPr>
        <w:t>M</w:t>
      </w:r>
      <w:r w:rsidR="00C033A5" w:rsidRPr="001C277A">
        <w:rPr>
          <w:rFonts w:cs="Arial"/>
          <w:color w:val="000000"/>
          <w:sz w:val="20"/>
          <w:szCs w:val="20"/>
        </w:rPr>
        <w:t xml:space="preserve">arket </w:t>
      </w:r>
      <w:r w:rsidR="00EB5AA6" w:rsidRPr="001C277A">
        <w:rPr>
          <w:rFonts w:cs="Arial"/>
          <w:color w:val="000000"/>
          <w:sz w:val="20"/>
          <w:szCs w:val="20"/>
        </w:rPr>
        <w:t>T</w:t>
      </w:r>
      <w:r w:rsidR="00C033A5" w:rsidRPr="001C277A">
        <w:rPr>
          <w:rFonts w:cs="Arial"/>
          <w:color w:val="000000"/>
          <w:sz w:val="20"/>
          <w:szCs w:val="20"/>
        </w:rPr>
        <w:t xml:space="preserve">iming </w:t>
      </w:r>
      <w:r w:rsidR="00EB5AA6" w:rsidRPr="001C277A">
        <w:rPr>
          <w:rFonts w:cs="Arial"/>
          <w:color w:val="000000"/>
          <w:sz w:val="20"/>
          <w:szCs w:val="20"/>
        </w:rPr>
        <w:t>P</w:t>
      </w:r>
      <w:r w:rsidR="00C033A5" w:rsidRPr="001C277A">
        <w:rPr>
          <w:rFonts w:cs="Arial"/>
          <w:color w:val="000000"/>
          <w:sz w:val="20"/>
          <w:szCs w:val="20"/>
        </w:rPr>
        <w:t>olicy). If so, the participant's transfer activity will be subject to further scrutiny. Potential market timing or frequent trading may result in future trading restrictions, up to and including temporary (or permanent) revocation of telephone exchange privileges.</w:t>
      </w:r>
    </w:p>
    <w:p w14:paraId="6F426E63" w14:textId="77777777" w:rsidR="00224FDC" w:rsidRPr="001C277A" w:rsidRDefault="00224FDC" w:rsidP="00B94F0C">
      <w:pPr>
        <w:autoSpaceDE w:val="0"/>
        <w:autoSpaceDN w:val="0"/>
        <w:adjustRightInd w:val="0"/>
        <w:spacing w:after="0" w:line="240" w:lineRule="auto"/>
        <w:jc w:val="both"/>
        <w:rPr>
          <w:rFonts w:cs="Arial"/>
          <w:color w:val="000000"/>
          <w:sz w:val="20"/>
          <w:szCs w:val="20"/>
        </w:rPr>
      </w:pPr>
    </w:p>
    <w:p w14:paraId="6291C798" w14:textId="77777777" w:rsidR="00224FDC" w:rsidRPr="001C277A" w:rsidRDefault="00224FDC" w:rsidP="00224FD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Voting and tender rights associated with mutual fund shares offered under the plan are exercised by the plan sponsor, if applicable.</w:t>
      </w:r>
    </w:p>
    <w:p w14:paraId="0DA30756" w14:textId="77777777" w:rsidR="00C033A5" w:rsidRPr="001C277A" w:rsidRDefault="00C033A5" w:rsidP="00B94F0C">
      <w:pPr>
        <w:autoSpaceDE w:val="0"/>
        <w:autoSpaceDN w:val="0"/>
        <w:adjustRightInd w:val="0"/>
        <w:spacing w:after="0" w:line="240" w:lineRule="auto"/>
        <w:jc w:val="both"/>
        <w:rPr>
          <w:rFonts w:cs="Arial"/>
          <w:color w:val="000000"/>
          <w:sz w:val="20"/>
          <w:szCs w:val="20"/>
        </w:rPr>
      </w:pPr>
    </w:p>
    <w:p w14:paraId="425D1E0C"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 xml:space="preserve">The designated investment alternatives available in the </w:t>
      </w:r>
      <w:r w:rsidR="00B77C5A" w:rsidRPr="001C277A">
        <w:rPr>
          <w:rFonts w:cs="Arial"/>
          <w:i/>
          <w:sz w:val="20"/>
          <w:szCs w:val="20"/>
        </w:rPr>
        <w:t>Lincoln Alliance</w:t>
      </w:r>
      <w:r w:rsidR="00B77C5A" w:rsidRPr="001C277A">
        <w:rPr>
          <w:rFonts w:cs="Arial"/>
          <w:sz w:val="20"/>
          <w:szCs w:val="20"/>
        </w:rPr>
        <w:t xml:space="preserve"> program</w:t>
      </w:r>
      <w:r w:rsidR="008853A3" w:rsidRPr="001C277A">
        <w:rPr>
          <w:rFonts w:cs="Arial"/>
          <w:sz w:val="20"/>
          <w:szCs w:val="20"/>
        </w:rPr>
        <w:t xml:space="preserve"> </w:t>
      </w:r>
      <w:r w:rsidRPr="001C277A">
        <w:rPr>
          <w:rFonts w:cs="Arial"/>
          <w:color w:val="000000"/>
          <w:sz w:val="20"/>
          <w:szCs w:val="20"/>
        </w:rPr>
        <w:t>are those listed in the comparative chart</w:t>
      </w:r>
      <w:r w:rsidR="00E87D31" w:rsidRPr="001C277A">
        <w:rPr>
          <w:rFonts w:cs="Arial"/>
          <w:color w:val="000000"/>
          <w:sz w:val="20"/>
          <w:szCs w:val="20"/>
        </w:rPr>
        <w:t>s</w:t>
      </w:r>
      <w:r w:rsidRPr="001C277A">
        <w:rPr>
          <w:rFonts w:cs="Arial"/>
          <w:color w:val="000000"/>
          <w:sz w:val="20"/>
          <w:szCs w:val="20"/>
        </w:rPr>
        <w:t>.</w:t>
      </w:r>
      <w:r w:rsidR="00876A60" w:rsidRPr="001C277A">
        <w:rPr>
          <w:rFonts w:cs="Arial"/>
          <w:color w:val="000000"/>
          <w:sz w:val="20"/>
          <w:szCs w:val="20"/>
        </w:rPr>
        <w:t xml:space="preserve"> Please contact your retirement plan administrator for information regarding designated investment alternatives offered outside of the </w:t>
      </w:r>
      <w:r w:rsidR="00B77C5A" w:rsidRPr="001C277A">
        <w:rPr>
          <w:rFonts w:cs="Arial"/>
          <w:i/>
          <w:sz w:val="20"/>
          <w:szCs w:val="20"/>
        </w:rPr>
        <w:t>Lincoln Alliance</w:t>
      </w:r>
      <w:r w:rsidR="00B77C5A" w:rsidRPr="001C277A">
        <w:rPr>
          <w:rFonts w:cs="Arial"/>
          <w:sz w:val="20"/>
          <w:szCs w:val="20"/>
        </w:rPr>
        <w:t xml:space="preserve"> program</w:t>
      </w:r>
      <w:r w:rsidR="00870215" w:rsidRPr="001C277A">
        <w:rPr>
          <w:rFonts w:cs="Arial"/>
          <w:sz w:val="20"/>
          <w:szCs w:val="20"/>
        </w:rPr>
        <w:t>,</w:t>
      </w:r>
      <w:r w:rsidR="00876A60" w:rsidRPr="001C277A">
        <w:rPr>
          <w:rFonts w:cs="Arial"/>
          <w:color w:val="000000"/>
          <w:sz w:val="20"/>
          <w:szCs w:val="20"/>
        </w:rPr>
        <w:t xml:space="preserve"> if any (e.g., employer securities).</w:t>
      </w:r>
    </w:p>
    <w:p w14:paraId="095687DB" w14:textId="77777777" w:rsidR="003C68F1" w:rsidRPr="001C277A" w:rsidRDefault="003C68F1" w:rsidP="00B94F0C">
      <w:pPr>
        <w:pStyle w:val="PlainText"/>
        <w:jc w:val="both"/>
        <w:rPr>
          <w:rFonts w:cs="Arial"/>
          <w:color w:val="000000"/>
          <w:sz w:val="20"/>
          <w:szCs w:val="20"/>
        </w:rPr>
      </w:pPr>
      <w:r w:rsidRPr="001C277A">
        <w:rPr>
          <w:rFonts w:cs="Arial"/>
          <w:color w:val="000000"/>
          <w:sz w:val="20"/>
          <w:szCs w:val="20"/>
        </w:rPr>
        <w:t xml:space="preserve"> </w:t>
      </w:r>
    </w:p>
    <w:p w14:paraId="651DE81F" w14:textId="77777777" w:rsidR="00410BBF" w:rsidRPr="001C277A" w:rsidRDefault="00410BBF" w:rsidP="00B94F0C">
      <w:pPr>
        <w:autoSpaceDE w:val="0"/>
        <w:autoSpaceDN w:val="0"/>
        <w:adjustRightInd w:val="0"/>
        <w:spacing w:after="0" w:line="240" w:lineRule="auto"/>
        <w:jc w:val="both"/>
        <w:rPr>
          <w:rFonts w:cs="Arial"/>
          <w:color w:val="000000"/>
          <w:sz w:val="20"/>
          <w:szCs w:val="20"/>
        </w:rPr>
      </w:pPr>
      <w:bookmarkStart w:id="5" w:name="SDBAhdr"/>
      <w:bookmarkStart w:id="6" w:name="DltSDBApgraph1"/>
      <w:bookmarkStart w:id="7" w:name="DltSDBApgraph2"/>
      <w:bookmarkStart w:id="8" w:name="DltSDBApgraph3"/>
      <w:bookmarkStart w:id="9" w:name="DltSDBApgraph4"/>
      <w:bookmarkStart w:id="10" w:name="DltSDBApgraph5"/>
      <w:bookmarkStart w:id="11" w:name="MLhdr"/>
      <w:bookmarkStart w:id="12" w:name="MLPara1"/>
      <w:bookmarkEnd w:id="5"/>
      <w:bookmarkEnd w:id="6"/>
      <w:bookmarkEnd w:id="7"/>
      <w:bookmarkEnd w:id="8"/>
      <w:bookmarkEnd w:id="9"/>
      <w:bookmarkEnd w:id="10"/>
      <w:bookmarkEnd w:id="11"/>
      <w:bookmarkEnd w:id="12"/>
    </w:p>
    <w:p w14:paraId="475EDFC1" w14:textId="66CC5082" w:rsidR="00410BBF" w:rsidRPr="001C277A" w:rsidRDefault="00410BBF" w:rsidP="00410BBF">
      <w:pPr>
        <w:autoSpaceDE w:val="0"/>
        <w:autoSpaceDN w:val="0"/>
        <w:adjustRightInd w:val="0"/>
        <w:spacing w:after="0" w:line="240" w:lineRule="auto"/>
        <w:rPr>
          <w:rFonts w:cs="Arial"/>
          <w:color w:val="000000"/>
          <w:sz w:val="20"/>
          <w:szCs w:val="20"/>
        </w:rPr>
        <w:sectPr w:rsidR="00410BBF" w:rsidRPr="001C277A" w:rsidSect="0070508A">
          <w:footerReference w:type="default" r:id="rId8"/>
          <w:pgSz w:w="12240" w:h="15840"/>
          <w:pgMar w:top="1440" w:right="1440" w:bottom="1440" w:left="1440" w:header="720" w:footer="720" w:gutter="0"/>
          <w:cols w:space="720"/>
          <w:docGrid w:linePitch="360"/>
        </w:sectPr>
      </w:pPr>
    </w:p>
    <w:p w14:paraId="60B8825A" w14:textId="77777777" w:rsidR="009F6B8B" w:rsidRPr="001C277A" w:rsidRDefault="000B0BD3" w:rsidP="00B94F0C">
      <w:pPr>
        <w:autoSpaceDE w:val="0"/>
        <w:autoSpaceDN w:val="0"/>
        <w:adjustRightInd w:val="0"/>
        <w:spacing w:after="0" w:line="240" w:lineRule="auto"/>
        <w:jc w:val="both"/>
        <w:rPr>
          <w:rFonts w:cs="Arial"/>
          <w:b/>
          <w:bCs/>
          <w:color w:val="000000"/>
          <w:sz w:val="28"/>
          <w:szCs w:val="28"/>
        </w:rPr>
      </w:pPr>
      <w:bookmarkStart w:id="14" w:name="DltTPAheader"/>
      <w:bookmarkStart w:id="15" w:name="DltTPAparagraph"/>
      <w:bookmarkStart w:id="16" w:name="DltTPAtable"/>
      <w:bookmarkEnd w:id="14"/>
      <w:bookmarkEnd w:id="15"/>
      <w:bookmarkEnd w:id="16"/>
      <w:r w:rsidRPr="001C277A">
        <w:rPr>
          <w:rFonts w:cs="Arial"/>
          <w:b/>
          <w:bCs/>
          <w:color w:val="000000"/>
          <w:sz w:val="28"/>
          <w:szCs w:val="28"/>
        </w:rPr>
        <w:lastRenderedPageBreak/>
        <w:t xml:space="preserve">Plan </w:t>
      </w:r>
      <w:r w:rsidR="000967AE" w:rsidRPr="001C277A">
        <w:rPr>
          <w:rFonts w:cs="Arial"/>
          <w:b/>
          <w:bCs/>
          <w:color w:val="000000"/>
          <w:sz w:val="28"/>
          <w:szCs w:val="28"/>
        </w:rPr>
        <w:t xml:space="preserve">fees </w:t>
      </w:r>
      <w:r w:rsidR="009F6B8B" w:rsidRPr="001C277A">
        <w:rPr>
          <w:rFonts w:cs="Arial"/>
          <w:b/>
          <w:bCs/>
          <w:color w:val="000000"/>
          <w:sz w:val="28"/>
          <w:szCs w:val="28"/>
        </w:rPr>
        <w:t xml:space="preserve">and </w:t>
      </w:r>
      <w:r w:rsidR="000967AE" w:rsidRPr="001C277A">
        <w:rPr>
          <w:rFonts w:cs="Arial"/>
          <w:b/>
          <w:bCs/>
          <w:color w:val="000000"/>
          <w:sz w:val="28"/>
          <w:szCs w:val="28"/>
        </w:rPr>
        <w:t>expenses</w:t>
      </w:r>
    </w:p>
    <w:p w14:paraId="216DAA89" w14:textId="77777777" w:rsidR="00C54998" w:rsidRPr="001C277A" w:rsidRDefault="00C54998" w:rsidP="00B94F0C">
      <w:pPr>
        <w:spacing w:after="0" w:line="240" w:lineRule="auto"/>
        <w:jc w:val="both"/>
        <w:rPr>
          <w:rFonts w:cs="Arial"/>
          <w:bCs/>
          <w:sz w:val="20"/>
          <w:szCs w:val="20"/>
        </w:rPr>
      </w:pPr>
      <w:r w:rsidRPr="001C277A">
        <w:rPr>
          <w:rFonts w:cs="Arial"/>
          <w:bCs/>
          <w:sz w:val="20"/>
          <w:szCs w:val="20"/>
        </w:rPr>
        <w:t xml:space="preserve">This section provides an explanation of fees and expenses for general plan administrative services, if any, that may be charged to or deducted from all individual accounts and are not reflected in the total annual operating expenses of any designated investment alternative. For example, the plan may incur general administrative expenses each year to cover services related to the operation of the plan (e.g., legal, accounting, recordkeeping, trustee fees, </w:t>
      </w:r>
      <w:r w:rsidR="007236C3" w:rsidRPr="001C277A">
        <w:rPr>
          <w:rFonts w:cs="Arial"/>
          <w:bCs/>
          <w:sz w:val="20"/>
          <w:szCs w:val="20"/>
        </w:rPr>
        <w:t xml:space="preserve">and </w:t>
      </w:r>
      <w:r w:rsidRPr="001C277A">
        <w:rPr>
          <w:rFonts w:cs="Arial"/>
          <w:bCs/>
          <w:sz w:val="20"/>
          <w:szCs w:val="20"/>
        </w:rPr>
        <w:t xml:space="preserve">Registered Investment Advisor fees). Where applicable, the plan </w:t>
      </w:r>
      <w:r w:rsidR="007236C3" w:rsidRPr="001C277A">
        <w:rPr>
          <w:rFonts w:cs="Arial"/>
          <w:bCs/>
          <w:sz w:val="20"/>
          <w:szCs w:val="20"/>
        </w:rPr>
        <w:t xml:space="preserve">may </w:t>
      </w:r>
      <w:r w:rsidRPr="001C277A">
        <w:rPr>
          <w:rFonts w:cs="Arial"/>
          <w:bCs/>
          <w:sz w:val="20"/>
          <w:szCs w:val="20"/>
        </w:rPr>
        <w:t>charge a portion of these expenses</w:t>
      </w:r>
      <w:r w:rsidR="007236C3" w:rsidRPr="001C277A">
        <w:rPr>
          <w:rFonts w:cs="Arial"/>
          <w:bCs/>
          <w:sz w:val="20"/>
          <w:szCs w:val="20"/>
        </w:rPr>
        <w:t xml:space="preserve"> to participant accounts if the expenses are</w:t>
      </w:r>
      <w:r w:rsidRPr="001C277A">
        <w:rPr>
          <w:rFonts w:cs="Arial"/>
          <w:bCs/>
          <w:sz w:val="20"/>
          <w:szCs w:val="20"/>
        </w:rPr>
        <w:t xml:space="preserve"> not paid by the plan sponsor </w:t>
      </w:r>
      <w:r w:rsidR="00C834C1" w:rsidRPr="001C277A">
        <w:rPr>
          <w:rFonts w:cs="Arial"/>
          <w:bCs/>
          <w:sz w:val="20"/>
          <w:szCs w:val="20"/>
        </w:rPr>
        <w:t>or from revenue sharing payments the plan receives from plan investment options.</w:t>
      </w:r>
      <w:r w:rsidRPr="001C277A">
        <w:rPr>
          <w:rFonts w:cs="Arial"/>
          <w:bCs/>
          <w:sz w:val="20"/>
          <w:szCs w:val="20"/>
        </w:rPr>
        <w:t xml:space="preserve"> These expenses </w:t>
      </w:r>
      <w:r w:rsidR="00C834C1" w:rsidRPr="001C277A">
        <w:rPr>
          <w:rFonts w:cs="Arial"/>
          <w:bCs/>
          <w:sz w:val="20"/>
          <w:szCs w:val="20"/>
        </w:rPr>
        <w:t xml:space="preserve">will </w:t>
      </w:r>
      <w:r w:rsidRPr="001C277A">
        <w:rPr>
          <w:rFonts w:cs="Arial"/>
          <w:bCs/>
          <w:sz w:val="20"/>
          <w:szCs w:val="20"/>
        </w:rPr>
        <w:t>appear on your</w:t>
      </w:r>
      <w:r w:rsidR="00C834C1" w:rsidRPr="001C277A">
        <w:rPr>
          <w:rFonts w:cs="Arial"/>
          <w:bCs/>
          <w:sz w:val="20"/>
          <w:szCs w:val="20"/>
        </w:rPr>
        <w:t xml:space="preserve"> quarterly retirement</w:t>
      </w:r>
      <w:r w:rsidRPr="001C277A">
        <w:rPr>
          <w:rFonts w:cs="Arial"/>
          <w:bCs/>
          <w:sz w:val="20"/>
          <w:szCs w:val="20"/>
        </w:rPr>
        <w:t xml:space="preserve"> statement, if applicable.</w:t>
      </w:r>
    </w:p>
    <w:p w14:paraId="07341C92" w14:textId="77777777" w:rsidR="00C54998" w:rsidRPr="001C277A" w:rsidRDefault="00C54998" w:rsidP="00B94F0C">
      <w:pPr>
        <w:spacing w:after="0" w:line="240" w:lineRule="auto"/>
        <w:jc w:val="both"/>
        <w:rPr>
          <w:rStyle w:val="Strong"/>
          <w:rFonts w:cs="Arial"/>
          <w:b w:val="0"/>
          <w:sz w:val="20"/>
          <w:szCs w:val="20"/>
        </w:rPr>
      </w:pPr>
    </w:p>
    <w:p w14:paraId="7538B57F" w14:textId="77777777" w:rsidR="009F6B8B" w:rsidRPr="001C277A" w:rsidRDefault="00740B0F" w:rsidP="00B94F0C">
      <w:pPr>
        <w:spacing w:after="0" w:line="240" w:lineRule="auto"/>
        <w:jc w:val="both"/>
        <w:rPr>
          <w:rStyle w:val="Strong"/>
          <w:rFonts w:cs="Arial"/>
          <w:b w:val="0"/>
          <w:sz w:val="20"/>
          <w:szCs w:val="20"/>
        </w:rPr>
      </w:pPr>
      <w:r w:rsidRPr="001C277A">
        <w:rPr>
          <w:rStyle w:val="Strong"/>
          <w:rFonts w:cs="Arial"/>
          <w:b w:val="0"/>
          <w:sz w:val="20"/>
          <w:szCs w:val="20"/>
        </w:rPr>
        <w:t xml:space="preserve">Additionally, </w:t>
      </w:r>
      <w:r w:rsidR="00C54998" w:rsidRPr="001C277A">
        <w:rPr>
          <w:rStyle w:val="Strong"/>
          <w:rFonts w:cs="Arial"/>
          <w:b w:val="0"/>
          <w:sz w:val="20"/>
          <w:szCs w:val="20"/>
        </w:rPr>
        <w:t xml:space="preserve">an </w:t>
      </w:r>
      <w:r w:rsidRPr="001C277A">
        <w:rPr>
          <w:rStyle w:val="Strong"/>
          <w:rFonts w:cs="Arial"/>
          <w:b w:val="0"/>
          <w:sz w:val="20"/>
          <w:szCs w:val="20"/>
        </w:rPr>
        <w:t xml:space="preserve">explanation of any fees and expenses that may be charged to or deducted from the individual account of a specific participant based on the actions taken by that person are described below. The dollar amount of fees and expenses that are </w:t>
      </w:r>
      <w:proofErr w:type="gramStart"/>
      <w:r w:rsidRPr="001C277A">
        <w:rPr>
          <w:rStyle w:val="Strong"/>
          <w:rFonts w:cs="Arial"/>
          <w:b w:val="0"/>
          <w:sz w:val="20"/>
          <w:szCs w:val="20"/>
        </w:rPr>
        <w:t>actually charged</w:t>
      </w:r>
      <w:proofErr w:type="gramEnd"/>
      <w:r w:rsidRPr="001C277A">
        <w:rPr>
          <w:rStyle w:val="Strong"/>
          <w:rFonts w:cs="Arial"/>
          <w:b w:val="0"/>
          <w:sz w:val="20"/>
          <w:szCs w:val="20"/>
        </w:rPr>
        <w:t xml:space="preserve"> to a participant’s</w:t>
      </w:r>
      <w:r w:rsidR="00923E3A" w:rsidRPr="001C277A">
        <w:rPr>
          <w:rStyle w:val="Strong"/>
          <w:rFonts w:cs="Arial"/>
          <w:b w:val="0"/>
          <w:sz w:val="20"/>
          <w:szCs w:val="20"/>
        </w:rPr>
        <w:t xml:space="preserve"> </w:t>
      </w:r>
      <w:r w:rsidRPr="001C277A">
        <w:rPr>
          <w:rStyle w:val="Strong"/>
          <w:rFonts w:cs="Arial"/>
          <w:b w:val="0"/>
          <w:sz w:val="20"/>
          <w:szCs w:val="20"/>
        </w:rPr>
        <w:t>account during the preceding quarter will be reflected on the participant</w:t>
      </w:r>
      <w:r w:rsidR="00C834C1" w:rsidRPr="001C277A">
        <w:rPr>
          <w:rStyle w:val="Strong"/>
          <w:rFonts w:cs="Arial"/>
          <w:b w:val="0"/>
          <w:sz w:val="20"/>
          <w:szCs w:val="20"/>
        </w:rPr>
        <w:t>’s</w:t>
      </w:r>
      <w:r w:rsidRPr="001C277A">
        <w:rPr>
          <w:rStyle w:val="Strong"/>
          <w:rFonts w:cs="Arial"/>
          <w:b w:val="0"/>
          <w:sz w:val="20"/>
          <w:szCs w:val="20"/>
        </w:rPr>
        <w:t xml:space="preserve"> quarterly</w:t>
      </w:r>
      <w:r w:rsidR="00C834C1" w:rsidRPr="001C277A">
        <w:rPr>
          <w:rStyle w:val="Strong"/>
          <w:rFonts w:cs="Arial"/>
          <w:b w:val="0"/>
          <w:sz w:val="20"/>
          <w:szCs w:val="20"/>
        </w:rPr>
        <w:t xml:space="preserve"> retirement</w:t>
      </w:r>
      <w:r w:rsidRPr="001C277A">
        <w:rPr>
          <w:rStyle w:val="Strong"/>
          <w:rFonts w:cs="Arial"/>
          <w:b w:val="0"/>
          <w:sz w:val="20"/>
          <w:szCs w:val="20"/>
        </w:rPr>
        <w:t xml:space="preserve"> statement.</w:t>
      </w:r>
    </w:p>
    <w:p w14:paraId="1B97CCA3" w14:textId="77777777" w:rsidR="00740B0F" w:rsidRPr="001C277A" w:rsidRDefault="00740B0F" w:rsidP="00B94F0C">
      <w:pPr>
        <w:autoSpaceDE w:val="0"/>
        <w:autoSpaceDN w:val="0"/>
        <w:adjustRightInd w:val="0"/>
        <w:spacing w:after="0" w:line="240" w:lineRule="auto"/>
        <w:jc w:val="both"/>
        <w:rPr>
          <w:rFonts w:cs="Arial"/>
          <w:b/>
          <w:bCs/>
          <w:color w:val="000000"/>
          <w:szCs w:val="28"/>
        </w:rPr>
      </w:pPr>
    </w:p>
    <w:p w14:paraId="25855CD1" w14:textId="77777777" w:rsidR="00306F30" w:rsidRPr="001C277A" w:rsidRDefault="00306F30" w:rsidP="00B94F0C">
      <w:pPr>
        <w:autoSpaceDE w:val="0"/>
        <w:autoSpaceDN w:val="0"/>
        <w:adjustRightInd w:val="0"/>
        <w:spacing w:after="0" w:line="240" w:lineRule="auto"/>
        <w:jc w:val="both"/>
        <w:rPr>
          <w:rFonts w:cs="Arial"/>
          <w:b/>
          <w:bCs/>
          <w:color w:val="000000"/>
          <w:sz w:val="28"/>
          <w:szCs w:val="28"/>
        </w:rPr>
      </w:pPr>
      <w:r w:rsidRPr="001C277A">
        <w:rPr>
          <w:rFonts w:cs="Arial"/>
          <w:b/>
          <w:bCs/>
          <w:color w:val="000000"/>
          <w:szCs w:val="28"/>
        </w:rPr>
        <w:t>Individual participant fees</w:t>
      </w:r>
    </w:p>
    <w:p w14:paraId="084671DB" w14:textId="77777777" w:rsidR="00306F30" w:rsidRPr="001C277A" w:rsidRDefault="00306F30" w:rsidP="00B94F0C">
      <w:pPr>
        <w:autoSpaceDE w:val="0"/>
        <w:autoSpaceDN w:val="0"/>
        <w:adjustRightInd w:val="0"/>
        <w:spacing w:after="120" w:line="240" w:lineRule="auto"/>
        <w:jc w:val="both"/>
        <w:rPr>
          <w:rFonts w:cs="Arial"/>
          <w:color w:val="000000"/>
          <w:sz w:val="20"/>
          <w:szCs w:val="20"/>
        </w:rPr>
      </w:pPr>
      <w:r w:rsidRPr="001C277A">
        <w:rPr>
          <w:rFonts w:cs="Arial"/>
          <w:color w:val="000000"/>
          <w:sz w:val="20"/>
          <w:szCs w:val="20"/>
        </w:rPr>
        <w:t>The plan applies</w:t>
      </w:r>
      <w:r w:rsidR="00EB5AA6" w:rsidRPr="001C277A">
        <w:rPr>
          <w:rFonts w:cs="Arial"/>
          <w:color w:val="000000"/>
          <w:sz w:val="20"/>
          <w:szCs w:val="20"/>
        </w:rPr>
        <w:t xml:space="preserve"> fees to individual participant</w:t>
      </w:r>
      <w:r w:rsidRPr="001C277A">
        <w:rPr>
          <w:rFonts w:cs="Arial"/>
          <w:color w:val="000000"/>
          <w:sz w:val="20"/>
          <w:szCs w:val="20"/>
        </w:rPr>
        <w:t xml:space="preserve"> accounts. These charges apply </w:t>
      </w:r>
      <w:r w:rsidR="00EB5AA6" w:rsidRPr="001C277A">
        <w:rPr>
          <w:rFonts w:cs="Arial"/>
          <w:color w:val="000000"/>
          <w:sz w:val="20"/>
          <w:szCs w:val="20"/>
        </w:rPr>
        <w:t xml:space="preserve">only </w:t>
      </w:r>
      <w:r w:rsidRPr="001C277A">
        <w:rPr>
          <w:rFonts w:cs="Arial"/>
          <w:color w:val="000000"/>
          <w:sz w:val="20"/>
          <w:szCs w:val="20"/>
        </w:rPr>
        <w:t>to participants who use specific features</w:t>
      </w:r>
      <w:r w:rsidR="00996D1F" w:rsidRPr="001C277A">
        <w:rPr>
          <w:rFonts w:cs="Arial"/>
          <w:color w:val="000000"/>
          <w:sz w:val="20"/>
          <w:szCs w:val="20"/>
        </w:rPr>
        <w:t xml:space="preserve"> </w:t>
      </w:r>
      <w:r w:rsidRPr="001C277A">
        <w:rPr>
          <w:rFonts w:cs="Arial"/>
          <w:color w:val="000000"/>
          <w:sz w:val="20"/>
          <w:szCs w:val="20"/>
        </w:rPr>
        <w:t xml:space="preserve">of the plan. Here is a list of individual participant fees associated with </w:t>
      </w:r>
      <w:r w:rsidR="00FD56D7" w:rsidRPr="001C277A">
        <w:rPr>
          <w:rFonts w:cs="Arial"/>
          <w:iCs/>
          <w:color w:val="000000"/>
          <w:sz w:val="20"/>
          <w:szCs w:val="20"/>
        </w:rPr>
        <w:t>this plan</w:t>
      </w:r>
      <w:r w:rsidRPr="001C277A">
        <w:rPr>
          <w:rFonts w:cs="Arial"/>
          <w:color w:val="000000"/>
          <w:sz w:val="20"/>
          <w:szCs w:val="20"/>
        </w:rPr>
        <w:t>:</w:t>
      </w:r>
    </w:p>
    <w:p w14:paraId="0B5C1D18" w14:textId="77777777" w:rsidR="00CF44BB" w:rsidRPr="001C277A" w:rsidRDefault="00CF44BB" w:rsidP="00B94F0C">
      <w:pPr>
        <w:autoSpaceDE w:val="0"/>
        <w:autoSpaceDN w:val="0"/>
        <w:adjustRightInd w:val="0"/>
        <w:spacing w:after="0" w:line="240" w:lineRule="auto"/>
        <w:jc w:val="both"/>
        <w:rPr>
          <w:rFonts w:cs="Arial"/>
          <w:b/>
          <w:bCs/>
          <w:sz w:val="20"/>
          <w:szCs w:val="20"/>
        </w:rPr>
      </w:pPr>
    </w:p>
    <w:tbl>
      <w:tblPr>
        <w:tblStyle w:val="TableGrid"/>
        <w:tblW w:w="9630" w:type="dxa"/>
        <w:tblInd w:w="108" w:type="dxa"/>
        <w:tblLook w:val="04A0" w:firstRow="1" w:lastRow="0" w:firstColumn="1" w:lastColumn="0" w:noHBand="0" w:noVBand="1"/>
      </w:tblPr>
      <w:tblGrid>
        <w:gridCol w:w="2411"/>
        <w:gridCol w:w="5495"/>
        <w:gridCol w:w="1724"/>
      </w:tblGrid>
      <w:tr w:rsidR="00CF44BB" w:rsidRPr="001C277A" w14:paraId="17D74C3C" w14:textId="77777777" w:rsidTr="00873367">
        <w:tc>
          <w:tcPr>
            <w:tcW w:w="2411" w:type="dxa"/>
            <w:tcBorders>
              <w:bottom w:val="single" w:sz="4" w:space="0" w:color="auto"/>
            </w:tcBorders>
            <w:shd w:val="clear" w:color="auto" w:fill="000000" w:themeFill="text1"/>
            <w:vAlign w:val="center"/>
          </w:tcPr>
          <w:p w14:paraId="67D4CBD4" w14:textId="77777777" w:rsidR="00CF44BB" w:rsidRPr="001C277A" w:rsidRDefault="00CF44BB" w:rsidP="00B94F0C">
            <w:pPr>
              <w:autoSpaceDE w:val="0"/>
              <w:autoSpaceDN w:val="0"/>
              <w:adjustRightInd w:val="0"/>
              <w:rPr>
                <w:rFonts w:cs="Arial"/>
                <w:color w:val="FFFFFF" w:themeColor="background1"/>
                <w:sz w:val="20"/>
                <w:szCs w:val="20"/>
              </w:rPr>
            </w:pPr>
            <w:r w:rsidRPr="001C277A">
              <w:rPr>
                <w:rFonts w:cs="Arial"/>
                <w:color w:val="FFFFFF" w:themeColor="background1"/>
                <w:sz w:val="20"/>
                <w:szCs w:val="20"/>
              </w:rPr>
              <w:t>Individual fees</w:t>
            </w:r>
          </w:p>
        </w:tc>
        <w:tc>
          <w:tcPr>
            <w:tcW w:w="5495" w:type="dxa"/>
            <w:tcBorders>
              <w:bottom w:val="single" w:sz="4" w:space="0" w:color="auto"/>
            </w:tcBorders>
            <w:shd w:val="clear" w:color="auto" w:fill="000000" w:themeFill="text1"/>
            <w:vAlign w:val="center"/>
          </w:tcPr>
          <w:p w14:paraId="699C6100" w14:textId="77777777" w:rsidR="00CF44BB" w:rsidRPr="001C277A" w:rsidRDefault="00CF44BB" w:rsidP="00B94F0C">
            <w:pPr>
              <w:autoSpaceDE w:val="0"/>
              <w:autoSpaceDN w:val="0"/>
              <w:adjustRightInd w:val="0"/>
              <w:rPr>
                <w:rFonts w:cs="Arial"/>
                <w:color w:val="FFFFFF" w:themeColor="background1"/>
                <w:sz w:val="20"/>
                <w:szCs w:val="20"/>
              </w:rPr>
            </w:pPr>
            <w:r w:rsidRPr="001C277A">
              <w:rPr>
                <w:rFonts w:cs="Arial"/>
                <w:color w:val="FFFFFF" w:themeColor="background1"/>
                <w:sz w:val="20"/>
                <w:szCs w:val="20"/>
              </w:rPr>
              <w:t>Description</w:t>
            </w:r>
          </w:p>
        </w:tc>
        <w:tc>
          <w:tcPr>
            <w:tcW w:w="1724" w:type="dxa"/>
            <w:tcBorders>
              <w:bottom w:val="single" w:sz="4" w:space="0" w:color="auto"/>
            </w:tcBorders>
            <w:shd w:val="clear" w:color="auto" w:fill="000000" w:themeFill="text1"/>
            <w:vAlign w:val="center"/>
          </w:tcPr>
          <w:p w14:paraId="2F4226CD" w14:textId="77777777" w:rsidR="00CF44BB" w:rsidRPr="001C277A" w:rsidRDefault="00CF44BB" w:rsidP="00B94F0C">
            <w:pPr>
              <w:autoSpaceDE w:val="0"/>
              <w:autoSpaceDN w:val="0"/>
              <w:adjustRightInd w:val="0"/>
              <w:spacing w:after="120"/>
              <w:rPr>
                <w:rFonts w:cs="Arial"/>
                <w:color w:val="FFFFFF" w:themeColor="background1"/>
                <w:sz w:val="20"/>
                <w:szCs w:val="20"/>
              </w:rPr>
            </w:pPr>
            <w:r w:rsidRPr="001C277A">
              <w:rPr>
                <w:rFonts w:cs="Arial"/>
                <w:color w:val="FFFFFF" w:themeColor="background1"/>
                <w:sz w:val="20"/>
                <w:szCs w:val="20"/>
              </w:rPr>
              <w:t>Fee/Frequency</w:t>
            </w:r>
          </w:p>
        </w:tc>
      </w:tr>
    </w:tbl>
    <w:tbl>
      <w:tblPr>
        <w:tblStyle w:val="TableGrid1"/>
        <w:tblW w:w="9630" w:type="dxa"/>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30"/>
        <w:gridCol w:w="5418"/>
        <w:gridCol w:w="1782"/>
      </w:tblGrid>
      <w:tr w:rsidR="0087501B" w:rsidRPr="001C277A" w14:paraId="52824BD8" w14:textId="77777777" w:rsidTr="00755301">
        <w:tc>
          <w:tcPr>
            <w:tcW w:w="2430" w:type="dxa"/>
            <w:vAlign w:val="center"/>
          </w:tcPr>
          <w:p w14:paraId="4A120C87" w14:textId="77777777" w:rsidR="0087501B" w:rsidRPr="001C277A" w:rsidRDefault="0087501B" w:rsidP="00D3492A">
            <w:pPr>
              <w:autoSpaceDE w:val="0"/>
              <w:autoSpaceDN w:val="0"/>
              <w:adjustRightInd w:val="0"/>
              <w:rPr>
                <w:rFonts w:ascii="Arial Narrow" w:hAnsi="Arial Narrow" w:cs="Arial"/>
                <w:color w:val="000000"/>
                <w:sz w:val="20"/>
                <w:szCs w:val="20"/>
              </w:rPr>
            </w:pPr>
            <w:r w:rsidRPr="001C277A">
              <w:rPr>
                <w:rFonts w:ascii="Arial Narrow" w:hAnsi="Arial Narrow" w:cs="Arial"/>
                <w:color w:val="000000"/>
                <w:sz w:val="20"/>
                <w:szCs w:val="20"/>
              </w:rPr>
              <w:t>Distributions</w:t>
            </w:r>
          </w:p>
        </w:tc>
        <w:tc>
          <w:tcPr>
            <w:tcW w:w="5418" w:type="dxa"/>
            <w:vAlign w:val="center"/>
          </w:tcPr>
          <w:p w14:paraId="3177663E" w14:textId="77777777" w:rsidR="0087501B" w:rsidRPr="001C277A" w:rsidRDefault="0087501B" w:rsidP="00D3492A">
            <w:pPr>
              <w:autoSpaceDE w:val="0"/>
              <w:autoSpaceDN w:val="0"/>
              <w:adjustRightInd w:val="0"/>
              <w:rPr>
                <w:rFonts w:ascii="Arial Narrow" w:hAnsi="Arial Narrow" w:cs="Arial"/>
                <w:color w:val="000000"/>
                <w:sz w:val="20"/>
                <w:szCs w:val="20"/>
              </w:rPr>
            </w:pPr>
            <w:r w:rsidRPr="001C277A">
              <w:rPr>
                <w:rFonts w:ascii="Arial Narrow" w:hAnsi="Arial Narrow" w:cs="Arial"/>
                <w:color w:val="000000"/>
                <w:sz w:val="20"/>
                <w:szCs w:val="20"/>
              </w:rPr>
              <w:t xml:space="preserve">A fee deducted from a participant’s account for processing withdrawals due to severance from employment or retirement (excludes automatic rollover distributions). </w:t>
            </w:r>
          </w:p>
        </w:tc>
        <w:tc>
          <w:tcPr>
            <w:tcW w:w="1782" w:type="dxa"/>
            <w:vAlign w:val="center"/>
          </w:tcPr>
          <w:p w14:paraId="4C9A3223" w14:textId="1110A30F" w:rsidR="0087501B" w:rsidRPr="001C277A" w:rsidRDefault="0087501B" w:rsidP="00D3492A">
            <w:pPr>
              <w:autoSpaceDE w:val="0"/>
              <w:autoSpaceDN w:val="0"/>
              <w:adjustRightInd w:val="0"/>
              <w:ind w:left="72"/>
              <w:rPr>
                <w:rFonts w:ascii="Arial Narrow" w:hAnsi="Arial Narrow" w:cs="Arial"/>
                <w:color w:val="000000"/>
                <w:sz w:val="20"/>
                <w:szCs w:val="20"/>
              </w:rPr>
            </w:pPr>
            <w:r w:rsidRPr="001C277A">
              <w:rPr>
                <w:rFonts w:ascii="Arial Narrow" w:hAnsi="Arial Narrow" w:cs="Arial"/>
                <w:color w:val="000000"/>
                <w:sz w:val="20"/>
                <w:szCs w:val="20"/>
              </w:rPr>
              <w:t>$</w:t>
            </w:r>
            <w:r w:rsidR="00CA5932" w:rsidRPr="001C277A">
              <w:rPr>
                <w:rFonts w:ascii="Arial Narrow" w:hAnsi="Arial Narrow" w:cs="Arial"/>
                <w:color w:val="000000"/>
                <w:sz w:val="20"/>
                <w:szCs w:val="20"/>
              </w:rPr>
              <w:t>40.00</w:t>
            </w:r>
            <w:r w:rsidRPr="001C277A">
              <w:rPr>
                <w:rFonts w:ascii="Arial Narrow" w:hAnsi="Arial Narrow" w:cs="Arial"/>
                <w:color w:val="000000"/>
                <w:sz w:val="20"/>
                <w:szCs w:val="20"/>
              </w:rPr>
              <w:t>/ lump sum distribution</w:t>
            </w:r>
          </w:p>
        </w:tc>
      </w:tr>
      <w:tr w:rsidR="0087501B" w:rsidRPr="001C277A" w14:paraId="041EF842" w14:textId="77777777" w:rsidTr="00755301">
        <w:tc>
          <w:tcPr>
            <w:tcW w:w="2430" w:type="dxa"/>
            <w:vAlign w:val="center"/>
          </w:tcPr>
          <w:p w14:paraId="6BA48338" w14:textId="77777777" w:rsidR="0087501B" w:rsidRPr="001C277A" w:rsidRDefault="0087501B" w:rsidP="00D3492A">
            <w:pPr>
              <w:autoSpaceDE w:val="0"/>
              <w:autoSpaceDN w:val="0"/>
              <w:adjustRightInd w:val="0"/>
              <w:rPr>
                <w:rFonts w:ascii="Arial Narrow" w:hAnsi="Arial Narrow"/>
                <w:sz w:val="20"/>
              </w:rPr>
            </w:pPr>
            <w:r w:rsidRPr="001C277A">
              <w:rPr>
                <w:rFonts w:ascii="Arial Narrow" w:hAnsi="Arial Narrow"/>
                <w:sz w:val="20"/>
              </w:rPr>
              <w:t>In-Service Withdrawals</w:t>
            </w:r>
          </w:p>
        </w:tc>
        <w:tc>
          <w:tcPr>
            <w:tcW w:w="5418" w:type="dxa"/>
            <w:vAlign w:val="center"/>
          </w:tcPr>
          <w:p w14:paraId="214AEECF" w14:textId="77777777" w:rsidR="0087501B" w:rsidRPr="001C277A" w:rsidRDefault="0087501B" w:rsidP="00D3492A">
            <w:pPr>
              <w:autoSpaceDE w:val="0"/>
              <w:autoSpaceDN w:val="0"/>
              <w:adjustRightInd w:val="0"/>
              <w:jc w:val="both"/>
              <w:rPr>
                <w:rFonts w:ascii="Arial Narrow" w:hAnsi="Arial Narrow"/>
                <w:sz w:val="20"/>
              </w:rPr>
            </w:pPr>
            <w:r w:rsidRPr="001C277A">
              <w:rPr>
                <w:rFonts w:ascii="Arial Narrow" w:hAnsi="Arial Narrow" w:cs="Arial"/>
                <w:color w:val="000000"/>
                <w:sz w:val="20"/>
                <w:szCs w:val="20"/>
              </w:rPr>
              <w:t>A fee deducted from a participant’s account for pre and post age 59 ½ withdrawals, withdrawals from rollover and/or after-tax accounts, when applicable to your plan.</w:t>
            </w:r>
          </w:p>
        </w:tc>
        <w:tc>
          <w:tcPr>
            <w:tcW w:w="1782" w:type="dxa"/>
            <w:vAlign w:val="center"/>
          </w:tcPr>
          <w:p w14:paraId="52B85197" w14:textId="28F75373" w:rsidR="0087501B" w:rsidRPr="001C277A" w:rsidRDefault="0087501B" w:rsidP="00D3492A">
            <w:pPr>
              <w:ind w:left="72"/>
              <w:rPr>
                <w:rFonts w:ascii="Arial Narrow" w:hAnsi="Arial Narrow"/>
                <w:sz w:val="20"/>
              </w:rPr>
            </w:pPr>
            <w:r w:rsidRPr="001C277A">
              <w:rPr>
                <w:rFonts w:ascii="Arial Narrow" w:hAnsi="Arial Narrow" w:cs="Arial"/>
                <w:color w:val="000000"/>
                <w:sz w:val="20"/>
                <w:szCs w:val="20"/>
              </w:rPr>
              <w:t>$</w:t>
            </w:r>
            <w:r w:rsidR="00CA5932" w:rsidRPr="001C277A">
              <w:rPr>
                <w:rFonts w:ascii="Arial Narrow" w:hAnsi="Arial Narrow" w:cs="Arial"/>
                <w:color w:val="000000"/>
                <w:sz w:val="20"/>
                <w:szCs w:val="20"/>
              </w:rPr>
              <w:t>25.00</w:t>
            </w:r>
            <w:r w:rsidRPr="001C277A">
              <w:rPr>
                <w:rFonts w:ascii="Arial Narrow" w:hAnsi="Arial Narrow"/>
                <w:sz w:val="20"/>
              </w:rPr>
              <w:t xml:space="preserve">/ withdrawal </w:t>
            </w:r>
          </w:p>
        </w:tc>
      </w:tr>
    </w:tbl>
    <w:tbl>
      <w:tblPr>
        <w:tblStyle w:val="TableGrid"/>
        <w:tblW w:w="961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5294"/>
        <w:gridCol w:w="1947"/>
      </w:tblGrid>
      <w:tr w:rsidR="0087501B" w:rsidRPr="001C277A" w14:paraId="24E201A5" w14:textId="77777777" w:rsidTr="00755301">
        <w:tc>
          <w:tcPr>
            <w:tcW w:w="2371" w:type="dxa"/>
            <w:tcBorders>
              <w:bottom w:val="single" w:sz="4" w:space="0" w:color="auto"/>
            </w:tcBorders>
            <w:vAlign w:val="center"/>
          </w:tcPr>
          <w:p w14:paraId="3326ACC2" w14:textId="77777777" w:rsidR="0087501B" w:rsidRPr="001C277A" w:rsidRDefault="0087501B" w:rsidP="00D3492A">
            <w:pPr>
              <w:autoSpaceDE w:val="0"/>
              <w:autoSpaceDN w:val="0"/>
              <w:adjustRightInd w:val="0"/>
              <w:rPr>
                <w:rFonts w:ascii="Arial Narrow" w:hAnsi="Arial Narrow"/>
                <w:sz w:val="20"/>
              </w:rPr>
            </w:pPr>
            <w:r w:rsidRPr="001C277A">
              <w:rPr>
                <w:rFonts w:ascii="Arial Narrow" w:hAnsi="Arial Narrow"/>
                <w:sz w:val="20"/>
              </w:rPr>
              <w:t>QDRO Distribution</w:t>
            </w:r>
          </w:p>
        </w:tc>
        <w:tc>
          <w:tcPr>
            <w:tcW w:w="5294" w:type="dxa"/>
            <w:tcBorders>
              <w:bottom w:val="single" w:sz="4" w:space="0" w:color="auto"/>
            </w:tcBorders>
            <w:vAlign w:val="center"/>
          </w:tcPr>
          <w:p w14:paraId="6DBE4B77" w14:textId="77777777" w:rsidR="0087501B" w:rsidRPr="001C277A" w:rsidRDefault="0087501B" w:rsidP="00D3492A">
            <w:pPr>
              <w:autoSpaceDE w:val="0"/>
              <w:autoSpaceDN w:val="0"/>
              <w:adjustRightInd w:val="0"/>
              <w:jc w:val="both"/>
              <w:rPr>
                <w:rFonts w:ascii="Arial Narrow" w:hAnsi="Arial Narrow"/>
                <w:sz w:val="20"/>
              </w:rPr>
            </w:pPr>
            <w:r w:rsidRPr="001C277A">
              <w:rPr>
                <w:rFonts w:ascii="Arial Narrow" w:hAnsi="Arial Narrow"/>
                <w:sz w:val="20"/>
              </w:rPr>
              <w:t xml:space="preserve">A fee deducted from a participants’ account for researching and processing withdrawals under a Qualified Domestic Relations Order (QDRO).  </w:t>
            </w:r>
          </w:p>
        </w:tc>
        <w:tc>
          <w:tcPr>
            <w:tcW w:w="1947" w:type="dxa"/>
            <w:tcBorders>
              <w:bottom w:val="single" w:sz="4" w:space="0" w:color="auto"/>
            </w:tcBorders>
            <w:vAlign w:val="center"/>
          </w:tcPr>
          <w:p w14:paraId="38620EE4" w14:textId="0528E003" w:rsidR="0087501B" w:rsidRPr="001C277A" w:rsidRDefault="0087501B" w:rsidP="00755301">
            <w:pPr>
              <w:tabs>
                <w:tab w:val="left" w:pos="224"/>
              </w:tabs>
              <w:ind w:left="224"/>
              <w:rPr>
                <w:rFonts w:ascii="Arial Narrow" w:hAnsi="Arial Narrow"/>
                <w:sz w:val="20"/>
              </w:rPr>
            </w:pPr>
            <w:r w:rsidRPr="001C277A">
              <w:rPr>
                <w:rFonts w:ascii="Arial Narrow" w:hAnsi="Arial Narrow" w:cs="Arial"/>
                <w:color w:val="000000"/>
                <w:sz w:val="20"/>
                <w:szCs w:val="20"/>
              </w:rPr>
              <w:t>$</w:t>
            </w:r>
            <w:r w:rsidR="00CA5932" w:rsidRPr="001C277A">
              <w:rPr>
                <w:rFonts w:ascii="Arial Narrow" w:hAnsi="Arial Narrow" w:cs="Arial"/>
                <w:color w:val="000000"/>
                <w:sz w:val="20"/>
                <w:szCs w:val="20"/>
              </w:rPr>
              <w:t>500.00</w:t>
            </w:r>
            <w:r w:rsidRPr="001C277A">
              <w:rPr>
                <w:rFonts w:ascii="Arial Narrow" w:hAnsi="Arial Narrow"/>
                <w:sz w:val="20"/>
              </w:rPr>
              <w:t>/ per occurrence</w:t>
            </w:r>
          </w:p>
        </w:tc>
      </w:tr>
    </w:tbl>
    <w:tbl>
      <w:tblPr>
        <w:tblW w:w="9630" w:type="dxa"/>
        <w:tblInd w:w="90" w:type="dxa"/>
        <w:tblBorders>
          <w:bottom w:val="single" w:sz="6" w:space="0" w:color="auto"/>
        </w:tblBorders>
        <w:tblCellMar>
          <w:left w:w="0" w:type="dxa"/>
          <w:right w:w="0" w:type="dxa"/>
        </w:tblCellMar>
        <w:tblLook w:val="04A0" w:firstRow="1" w:lastRow="0" w:firstColumn="1" w:lastColumn="0" w:noHBand="0" w:noVBand="1"/>
      </w:tblPr>
      <w:tblGrid>
        <w:gridCol w:w="2520"/>
        <w:gridCol w:w="5220"/>
        <w:gridCol w:w="1890"/>
      </w:tblGrid>
      <w:tr w:rsidR="000627A6" w:rsidRPr="001C277A" w14:paraId="17FD017F" w14:textId="77777777" w:rsidTr="009F0B09">
        <w:tc>
          <w:tcPr>
            <w:tcW w:w="2520" w:type="dxa"/>
            <w:tcBorders>
              <w:top w:val="nil"/>
              <w:left w:val="nil"/>
              <w:bottom w:val="single" w:sz="6" w:space="0" w:color="auto"/>
              <w:right w:val="nil"/>
            </w:tcBorders>
            <w:shd w:val="clear" w:color="auto" w:fill="auto"/>
            <w:vAlign w:val="center"/>
            <w:hideMark/>
          </w:tcPr>
          <w:p w14:paraId="2412EE90" w14:textId="77777777" w:rsidR="000627A6" w:rsidRPr="001C277A" w:rsidRDefault="000627A6" w:rsidP="00755301">
            <w:pPr>
              <w:spacing w:after="0" w:line="240" w:lineRule="auto"/>
              <w:ind w:left="90" w:hanging="13"/>
              <w:textAlignment w:val="baseline"/>
              <w:rPr>
                <w:rFonts w:ascii="Segoe UI" w:eastAsia="Times New Roman" w:hAnsi="Segoe UI" w:cs="Segoe UI"/>
                <w:sz w:val="18"/>
                <w:szCs w:val="18"/>
              </w:rPr>
            </w:pPr>
            <w:bookmarkStart w:id="17" w:name="SDBAfee"/>
            <w:bookmarkStart w:id="18" w:name="YourPathFee"/>
            <w:bookmarkEnd w:id="17"/>
            <w:bookmarkEnd w:id="18"/>
            <w:proofErr w:type="spellStart"/>
            <w:r w:rsidRPr="001C277A">
              <w:rPr>
                <w:rFonts w:ascii="Arial Narrow" w:eastAsia="Times New Roman" w:hAnsi="Arial Narrow" w:cs="Segoe UI"/>
                <w:i/>
                <w:sz w:val="20"/>
                <w:szCs w:val="20"/>
              </w:rPr>
              <w:t>YourPath</w:t>
            </w:r>
            <w:proofErr w:type="spellEnd"/>
            <w:r w:rsidRPr="001C277A">
              <w:rPr>
                <w:rFonts w:cs="Arial"/>
                <w:iCs/>
                <w:color w:val="000000"/>
                <w:sz w:val="20"/>
                <w:szCs w:val="20"/>
                <w:vertAlign w:val="superscript"/>
              </w:rPr>
              <w:t>®</w:t>
            </w:r>
            <w:r w:rsidRPr="001C277A">
              <w:rPr>
                <w:rFonts w:ascii="Arial Narrow" w:eastAsia="Times New Roman" w:hAnsi="Arial Narrow" w:cs="Segoe UI"/>
                <w:sz w:val="20"/>
                <w:szCs w:val="20"/>
              </w:rPr>
              <w:t xml:space="preserve"> Portfolios </w:t>
            </w:r>
          </w:p>
        </w:tc>
        <w:tc>
          <w:tcPr>
            <w:tcW w:w="5220" w:type="dxa"/>
            <w:tcBorders>
              <w:top w:val="nil"/>
              <w:left w:val="nil"/>
              <w:bottom w:val="single" w:sz="6" w:space="0" w:color="auto"/>
              <w:right w:val="nil"/>
            </w:tcBorders>
            <w:vAlign w:val="center"/>
            <w:hideMark/>
          </w:tcPr>
          <w:p w14:paraId="0556DF5C" w14:textId="77777777" w:rsidR="000627A6" w:rsidRPr="001C277A" w:rsidRDefault="000627A6">
            <w:pPr>
              <w:spacing w:after="0" w:line="240" w:lineRule="auto"/>
              <w:jc w:val="both"/>
              <w:textAlignment w:val="baseline"/>
              <w:rPr>
                <w:rFonts w:ascii="Segoe UI" w:eastAsia="Times New Roman" w:hAnsi="Segoe UI" w:cs="Segoe UI"/>
                <w:sz w:val="18"/>
                <w:szCs w:val="18"/>
              </w:rPr>
            </w:pPr>
            <w:r w:rsidRPr="001C277A">
              <w:rPr>
                <w:rFonts w:ascii="Arial Narrow" w:eastAsia="Times New Roman" w:hAnsi="Arial Narrow" w:cs="Segoe UI"/>
                <w:sz w:val="20"/>
                <w:szCs w:val="20"/>
              </w:rPr>
              <w:t xml:space="preserve">A fee that may apply for Morningstar Investment Management 3(38) fiduciary services and Mid Atlantic Trust Company portfolio administration. The fee is included in the net expense ratio of the </w:t>
            </w:r>
            <w:proofErr w:type="spellStart"/>
            <w:r w:rsidRPr="001C277A">
              <w:rPr>
                <w:rFonts w:ascii="Arial Narrow" w:eastAsia="Times New Roman" w:hAnsi="Arial Narrow" w:cs="Segoe UI"/>
                <w:i/>
                <w:iCs/>
                <w:sz w:val="20"/>
                <w:szCs w:val="20"/>
              </w:rPr>
              <w:t>YourPath</w:t>
            </w:r>
            <w:proofErr w:type="spellEnd"/>
            <w:r w:rsidRPr="001C277A">
              <w:rPr>
                <w:rFonts w:cs="Arial"/>
                <w:iCs/>
                <w:color w:val="000000"/>
                <w:sz w:val="20"/>
                <w:szCs w:val="20"/>
                <w:vertAlign w:val="superscript"/>
              </w:rPr>
              <w:t>®</w:t>
            </w:r>
            <w:r w:rsidRPr="001C277A">
              <w:rPr>
                <w:rFonts w:ascii="Arial Narrow" w:eastAsia="Times New Roman" w:hAnsi="Arial Narrow" w:cs="Segoe UI"/>
                <w:sz w:val="20"/>
                <w:szCs w:val="20"/>
              </w:rPr>
              <w:t xml:space="preserve"> portfolios.</w:t>
            </w:r>
            <w:r w:rsidRPr="001C277A">
              <w:rPr>
                <w:rFonts w:ascii="Arial Narrow" w:eastAsia="Times New Roman" w:hAnsi="Arial Narrow" w:cs="Segoe UI"/>
                <w:sz w:val="20"/>
                <w:szCs w:val="20"/>
                <w:shd w:val="clear" w:color="auto" w:fill="C0C0C0"/>
              </w:rPr>
              <w:t xml:space="preserve"> </w:t>
            </w:r>
          </w:p>
        </w:tc>
        <w:tc>
          <w:tcPr>
            <w:tcW w:w="1890" w:type="dxa"/>
            <w:tcBorders>
              <w:top w:val="nil"/>
              <w:left w:val="nil"/>
              <w:bottom w:val="single" w:sz="6" w:space="0" w:color="auto"/>
              <w:right w:val="nil"/>
            </w:tcBorders>
            <w:vAlign w:val="center"/>
            <w:hideMark/>
          </w:tcPr>
          <w:p w14:paraId="70C3861D" w14:textId="77777777" w:rsidR="000627A6" w:rsidRPr="001C277A" w:rsidRDefault="000627A6">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20"/>
                <w:szCs w:val="20"/>
              </w:rPr>
              <w:t>0.075% / annually</w:t>
            </w:r>
          </w:p>
        </w:tc>
      </w:tr>
    </w:tbl>
    <w:p w14:paraId="6994669E" w14:textId="77777777" w:rsidR="002410E2" w:rsidRDefault="002410E2" w:rsidP="009F0B09">
      <w:pPr>
        <w:tabs>
          <w:tab w:val="left" w:pos="2700"/>
        </w:tabs>
        <w:autoSpaceDE w:val="0"/>
        <w:autoSpaceDN w:val="0"/>
        <w:adjustRightInd w:val="0"/>
        <w:spacing w:after="0" w:line="240" w:lineRule="auto"/>
        <w:jc w:val="both"/>
        <w:rPr>
          <w:rFonts w:cs="Arial"/>
          <w:b/>
          <w:bCs/>
          <w:sz w:val="24"/>
          <w:szCs w:val="24"/>
        </w:rPr>
      </w:pPr>
      <w:bookmarkStart w:id="19" w:name="PlanName2"/>
      <w:bookmarkEnd w:id="19"/>
    </w:p>
    <w:p w14:paraId="730BCD42" w14:textId="77777777" w:rsidR="002410E2" w:rsidRDefault="002410E2">
      <w:pPr>
        <w:rPr>
          <w:rFonts w:cs="Arial"/>
          <w:b/>
          <w:bCs/>
          <w:sz w:val="24"/>
          <w:szCs w:val="24"/>
        </w:rPr>
      </w:pPr>
      <w:r>
        <w:rPr>
          <w:rFonts w:cs="Arial"/>
          <w:b/>
          <w:bCs/>
          <w:sz w:val="24"/>
          <w:szCs w:val="24"/>
        </w:rPr>
        <w:br w:type="page"/>
      </w:r>
    </w:p>
    <w:p w14:paraId="0A3D4BCC" w14:textId="7D319AC7" w:rsidR="000627A6" w:rsidRPr="001C277A" w:rsidRDefault="002406C9" w:rsidP="009F0B09">
      <w:pPr>
        <w:tabs>
          <w:tab w:val="left" w:pos="2700"/>
        </w:tabs>
        <w:autoSpaceDE w:val="0"/>
        <w:autoSpaceDN w:val="0"/>
        <w:adjustRightInd w:val="0"/>
        <w:spacing w:after="0" w:line="240" w:lineRule="auto"/>
        <w:jc w:val="both"/>
        <w:rPr>
          <w:rFonts w:cs="Arial"/>
          <w:b/>
          <w:bCs/>
          <w:sz w:val="24"/>
          <w:szCs w:val="24"/>
        </w:rPr>
      </w:pPr>
      <w:proofErr w:type="spellStart"/>
      <w:r>
        <w:rPr>
          <w:rFonts w:cs="Arial"/>
          <w:b/>
          <w:bCs/>
          <w:sz w:val="24"/>
          <w:szCs w:val="24"/>
        </w:rPr>
        <w:lastRenderedPageBreak/>
        <w:t>FlexPEP</w:t>
      </w:r>
      <w:proofErr w:type="spellEnd"/>
      <w:r>
        <w:rPr>
          <w:rFonts w:cs="Arial"/>
          <w:b/>
          <w:bCs/>
          <w:sz w:val="24"/>
          <w:szCs w:val="24"/>
        </w:rPr>
        <w:t>(b) Pooled Employer 403(b) Plan as adopted by Moosilauke Visions, Inc.</w:t>
      </w:r>
    </w:p>
    <w:p w14:paraId="6C9180FC" w14:textId="35641127" w:rsidR="00727482" w:rsidRPr="001C277A" w:rsidRDefault="00F964F6" w:rsidP="00F964F6">
      <w:pPr>
        <w:autoSpaceDE w:val="0"/>
        <w:autoSpaceDN w:val="0"/>
        <w:spacing w:after="0" w:line="240" w:lineRule="auto"/>
        <w:jc w:val="both"/>
        <w:rPr>
          <w:rFonts w:cs="Arial"/>
          <w:b/>
          <w:color w:val="000000"/>
          <w:sz w:val="20"/>
          <w:szCs w:val="20"/>
        </w:rPr>
      </w:pPr>
      <w:r w:rsidRPr="001C277A">
        <w:rPr>
          <w:bCs/>
          <w:sz w:val="20"/>
        </w:rPr>
        <w:t>Plan Code</w:t>
      </w:r>
      <w:r w:rsidR="00727482" w:rsidRPr="001C277A">
        <w:rPr>
          <w:bCs/>
          <w:sz w:val="20"/>
        </w:rPr>
        <w:t xml:space="preserve">: </w:t>
      </w:r>
      <w:bookmarkStart w:id="20" w:name="PlanCode1"/>
      <w:bookmarkEnd w:id="20"/>
      <w:r w:rsidR="00167F99" w:rsidRPr="001C277A">
        <w:rPr>
          <w:bCs/>
          <w:sz w:val="20"/>
        </w:rPr>
        <w:t>FLEXB-001</w:t>
      </w:r>
    </w:p>
    <w:p w14:paraId="250E4660" w14:textId="157C13E7" w:rsidR="00306F30" w:rsidRPr="001C277A" w:rsidRDefault="00306F30" w:rsidP="00B94F0C">
      <w:pPr>
        <w:autoSpaceDE w:val="0"/>
        <w:autoSpaceDN w:val="0"/>
        <w:adjustRightInd w:val="0"/>
        <w:spacing w:after="0" w:line="240" w:lineRule="auto"/>
        <w:jc w:val="both"/>
        <w:rPr>
          <w:rFonts w:cs="Arial"/>
          <w:b/>
          <w:color w:val="000000"/>
          <w:sz w:val="20"/>
          <w:szCs w:val="20"/>
        </w:rPr>
      </w:pPr>
      <w:r w:rsidRPr="001C277A">
        <w:rPr>
          <w:rFonts w:cs="Arial"/>
          <w:b/>
          <w:color w:val="000000"/>
          <w:sz w:val="20"/>
          <w:szCs w:val="20"/>
        </w:rPr>
        <w:t>Investment options, performance history, and fees and expenses</w:t>
      </w:r>
      <w:r w:rsidR="00217D8B" w:rsidRPr="001C277A">
        <w:rPr>
          <w:rFonts w:cs="Arial"/>
          <w:b/>
          <w:color w:val="000000"/>
          <w:sz w:val="20"/>
          <w:szCs w:val="20"/>
        </w:rPr>
        <w:t xml:space="preserve"> </w:t>
      </w:r>
      <w:r w:rsidRPr="001C277A">
        <w:rPr>
          <w:rFonts w:cs="Arial"/>
          <w:b/>
          <w:color w:val="000000"/>
          <w:sz w:val="20"/>
          <w:szCs w:val="20"/>
        </w:rPr>
        <w:t xml:space="preserve">as of </w:t>
      </w:r>
      <w:bookmarkStart w:id="21" w:name="QuarterEnd"/>
      <w:bookmarkEnd w:id="21"/>
      <w:r w:rsidR="00167F99" w:rsidRPr="001C277A">
        <w:rPr>
          <w:rFonts w:cs="Arial"/>
          <w:b/>
          <w:color w:val="000000"/>
          <w:sz w:val="20"/>
          <w:szCs w:val="20"/>
        </w:rPr>
        <w:t>3/31/2024</w:t>
      </w:r>
    </w:p>
    <w:p w14:paraId="2FAE8A0C" w14:textId="77777777" w:rsidR="00044A56" w:rsidRPr="001C277A" w:rsidRDefault="00044A56" w:rsidP="00B94F0C">
      <w:pPr>
        <w:autoSpaceDE w:val="0"/>
        <w:autoSpaceDN w:val="0"/>
        <w:adjustRightInd w:val="0"/>
        <w:spacing w:after="0" w:line="240" w:lineRule="auto"/>
        <w:jc w:val="both"/>
        <w:rPr>
          <w:rFonts w:cs="Arial"/>
          <w:b/>
          <w:bCs/>
          <w:color w:val="000000"/>
          <w:sz w:val="20"/>
          <w:szCs w:val="20"/>
        </w:rPr>
      </w:pPr>
    </w:p>
    <w:p w14:paraId="55F2B88A" w14:textId="77777777" w:rsidR="00306F30" w:rsidRPr="001C277A" w:rsidRDefault="00044A56"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 xml:space="preserve">Comparative chart </w:t>
      </w:r>
      <w:r w:rsidR="00306F30" w:rsidRPr="001C277A">
        <w:rPr>
          <w:rFonts w:cs="Arial"/>
          <w:b/>
          <w:bCs/>
          <w:color w:val="000000"/>
          <w:sz w:val="20"/>
          <w:szCs w:val="20"/>
        </w:rPr>
        <w:t>summary</w:t>
      </w:r>
    </w:p>
    <w:p w14:paraId="5B9E593A" w14:textId="3A86F7D8" w:rsidR="00306F30" w:rsidRPr="001C277A" w:rsidRDefault="00044A56" w:rsidP="00B94F0C">
      <w:pPr>
        <w:autoSpaceDE w:val="0"/>
        <w:autoSpaceDN w:val="0"/>
        <w:adjustRightInd w:val="0"/>
        <w:spacing w:after="120" w:line="240" w:lineRule="auto"/>
        <w:jc w:val="both"/>
        <w:rPr>
          <w:rFonts w:cs="Arial"/>
          <w:color w:val="000000"/>
          <w:sz w:val="20"/>
          <w:szCs w:val="20"/>
        </w:rPr>
      </w:pPr>
      <w:r w:rsidRPr="001C277A">
        <w:rPr>
          <w:rFonts w:cs="Arial"/>
          <w:color w:val="000000"/>
          <w:sz w:val="20"/>
          <w:szCs w:val="20"/>
        </w:rPr>
        <w:t xml:space="preserve">This section is comprised of </w:t>
      </w:r>
      <w:bookmarkStart w:id="22" w:name="ChartNum"/>
      <w:bookmarkEnd w:id="22"/>
      <w:r w:rsidR="00167F99" w:rsidRPr="001C277A">
        <w:rPr>
          <w:rFonts w:cs="Arial"/>
          <w:color w:val="000000"/>
          <w:sz w:val="20"/>
          <w:szCs w:val="20"/>
        </w:rPr>
        <w:t>four</w:t>
      </w:r>
      <w:r w:rsidR="00C8397A" w:rsidRPr="001C277A">
        <w:rPr>
          <w:rFonts w:cs="Arial"/>
          <w:color w:val="000000"/>
          <w:sz w:val="20"/>
          <w:szCs w:val="20"/>
        </w:rPr>
        <w:t xml:space="preserve"> </w:t>
      </w:r>
      <w:r w:rsidR="00306F30" w:rsidRPr="001C277A">
        <w:rPr>
          <w:rFonts w:cs="Arial"/>
          <w:color w:val="000000"/>
          <w:sz w:val="20"/>
          <w:szCs w:val="20"/>
        </w:rPr>
        <w:t>charts:</w:t>
      </w:r>
      <w:r w:rsidR="008374B8" w:rsidRPr="001C277A">
        <w:rPr>
          <w:rFonts w:cs="Arial"/>
          <w:color w:val="000000"/>
          <w:sz w:val="20"/>
          <w:szCs w:val="20"/>
        </w:rPr>
        <w:t xml:space="preserve"> </w:t>
      </w:r>
    </w:p>
    <w:p w14:paraId="64D1F0C4"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Chart 1</w:t>
      </w:r>
    </w:p>
    <w:p w14:paraId="650E8237"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 Variable return investments chart</w:t>
      </w:r>
    </w:p>
    <w:p w14:paraId="78A67136"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w:t>
      </w:r>
      <w:r w:rsidR="00996D1F" w:rsidRPr="001C277A">
        <w:rPr>
          <w:rFonts w:cs="Arial"/>
          <w:color w:val="000000"/>
          <w:sz w:val="20"/>
          <w:szCs w:val="20"/>
        </w:rPr>
        <w:t xml:space="preserve"> </w:t>
      </w:r>
      <w:r w:rsidRPr="001C277A">
        <w:rPr>
          <w:rFonts w:cs="Arial"/>
          <w:color w:val="000000"/>
          <w:sz w:val="20"/>
          <w:szCs w:val="20"/>
        </w:rPr>
        <w:t>comprised of performance information for plan investment options</w:t>
      </w:r>
    </w:p>
    <w:p w14:paraId="245220C6" w14:textId="77777777" w:rsidR="00306F30" w:rsidRPr="001C277A" w:rsidRDefault="00306F30" w:rsidP="00B94F0C">
      <w:pPr>
        <w:autoSpaceDE w:val="0"/>
        <w:autoSpaceDN w:val="0"/>
        <w:adjustRightInd w:val="0"/>
        <w:spacing w:after="120" w:line="240" w:lineRule="auto"/>
        <w:jc w:val="both"/>
        <w:rPr>
          <w:rFonts w:cs="Arial"/>
          <w:color w:val="000000"/>
          <w:sz w:val="20"/>
          <w:szCs w:val="20"/>
        </w:rPr>
      </w:pPr>
      <w:r w:rsidRPr="001C277A">
        <w:rPr>
          <w:rFonts w:cs="Arial"/>
          <w:color w:val="000000"/>
          <w:sz w:val="20"/>
          <w:szCs w:val="20"/>
        </w:rPr>
        <w:t>-</w:t>
      </w:r>
      <w:r w:rsidR="00996D1F" w:rsidRPr="001C277A">
        <w:rPr>
          <w:rFonts w:cs="Arial"/>
          <w:color w:val="000000"/>
          <w:sz w:val="20"/>
          <w:szCs w:val="20"/>
        </w:rPr>
        <w:t xml:space="preserve"> </w:t>
      </w:r>
      <w:r w:rsidRPr="001C277A">
        <w:rPr>
          <w:rFonts w:cs="Arial"/>
          <w:color w:val="000000"/>
          <w:sz w:val="20"/>
          <w:szCs w:val="20"/>
        </w:rPr>
        <w:t>illustrates the past performance of the investments with the benchmark field</w:t>
      </w:r>
    </w:p>
    <w:p w14:paraId="7DC02504"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Chart 2</w:t>
      </w:r>
    </w:p>
    <w:p w14:paraId="4F590988"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 Fixed return investments chart</w:t>
      </w:r>
    </w:p>
    <w:p w14:paraId="25CF82A5" w14:textId="77777777" w:rsidR="00306F30" w:rsidRPr="001C277A" w:rsidRDefault="00A04D72" w:rsidP="00B94F0C">
      <w:pPr>
        <w:autoSpaceDE w:val="0"/>
        <w:autoSpaceDN w:val="0"/>
        <w:adjustRightInd w:val="0"/>
        <w:spacing w:after="120" w:line="240" w:lineRule="auto"/>
        <w:jc w:val="both"/>
        <w:rPr>
          <w:rFonts w:cs="Arial"/>
          <w:color w:val="000000"/>
          <w:sz w:val="20"/>
          <w:szCs w:val="20"/>
        </w:rPr>
      </w:pPr>
      <w:r w:rsidRPr="001C277A">
        <w:rPr>
          <w:rFonts w:cs="Arial"/>
          <w:color w:val="000000"/>
          <w:sz w:val="20"/>
          <w:szCs w:val="20"/>
        </w:rPr>
        <w:t xml:space="preserve">- </w:t>
      </w:r>
      <w:r w:rsidR="00306F30" w:rsidRPr="001C277A">
        <w:rPr>
          <w:rFonts w:cs="Arial"/>
          <w:color w:val="000000"/>
          <w:sz w:val="20"/>
          <w:szCs w:val="20"/>
        </w:rPr>
        <w:t>displays those funds with a fixed rate of return</w:t>
      </w:r>
    </w:p>
    <w:p w14:paraId="24D3BE6C"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Chart 3</w:t>
      </w:r>
    </w:p>
    <w:p w14:paraId="6A3CFDD6" w14:textId="77777777" w:rsidR="00306F30" w:rsidRPr="001C277A" w:rsidRDefault="00306F30" w:rsidP="00B94F0C">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 Fees and expenses chart</w:t>
      </w:r>
    </w:p>
    <w:p w14:paraId="40E2FB52"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w:t>
      </w:r>
      <w:r w:rsidR="00996D1F" w:rsidRPr="001C277A">
        <w:rPr>
          <w:rFonts w:cs="Arial"/>
          <w:color w:val="000000"/>
          <w:sz w:val="20"/>
          <w:szCs w:val="20"/>
        </w:rPr>
        <w:t xml:space="preserve"> </w:t>
      </w:r>
      <w:r w:rsidRPr="001C277A">
        <w:rPr>
          <w:rFonts w:cs="Arial"/>
          <w:color w:val="000000"/>
          <w:sz w:val="20"/>
          <w:szCs w:val="20"/>
        </w:rPr>
        <w:t>displays the fees and expenses you will pay if you invest in a particular option</w:t>
      </w:r>
    </w:p>
    <w:p w14:paraId="6D9A2213" w14:textId="75309E89" w:rsidR="009D47ED" w:rsidRPr="001C277A" w:rsidRDefault="009D47ED" w:rsidP="009D47ED">
      <w:pPr>
        <w:autoSpaceDE w:val="0"/>
        <w:autoSpaceDN w:val="0"/>
        <w:adjustRightInd w:val="0"/>
        <w:spacing w:after="0" w:line="240" w:lineRule="auto"/>
        <w:jc w:val="both"/>
        <w:rPr>
          <w:rFonts w:cs="Arial"/>
          <w:color w:val="000000"/>
          <w:sz w:val="20"/>
          <w:szCs w:val="20"/>
        </w:rPr>
      </w:pPr>
    </w:p>
    <w:p w14:paraId="4D1A1B21" w14:textId="77777777" w:rsidR="009D47ED" w:rsidRPr="001C277A" w:rsidRDefault="009D47ED" w:rsidP="009D47ED">
      <w:pPr>
        <w:autoSpaceDE w:val="0"/>
        <w:autoSpaceDN w:val="0"/>
        <w:adjustRightInd w:val="0"/>
        <w:spacing w:after="0" w:line="240" w:lineRule="auto"/>
        <w:jc w:val="both"/>
        <w:rPr>
          <w:rFonts w:cs="Arial"/>
          <w:b/>
          <w:bCs/>
          <w:color w:val="000000"/>
          <w:sz w:val="20"/>
          <w:szCs w:val="20"/>
        </w:rPr>
      </w:pPr>
      <w:bookmarkStart w:id="23" w:name="Chart4a4b"/>
      <w:r w:rsidRPr="001C277A">
        <w:rPr>
          <w:rFonts w:cs="Arial"/>
          <w:b/>
          <w:bCs/>
          <w:color w:val="000000"/>
          <w:sz w:val="20"/>
          <w:szCs w:val="20"/>
        </w:rPr>
        <w:t>Chart 4a and 4b</w:t>
      </w:r>
    </w:p>
    <w:p w14:paraId="7D8F8DF0" w14:textId="77777777" w:rsidR="009D47ED" w:rsidRPr="001C277A" w:rsidRDefault="009D47ED" w:rsidP="009D47ED">
      <w:pPr>
        <w:autoSpaceDE w:val="0"/>
        <w:autoSpaceDN w:val="0"/>
        <w:adjustRightInd w:val="0"/>
        <w:spacing w:after="0" w:line="240" w:lineRule="auto"/>
        <w:jc w:val="both"/>
        <w:rPr>
          <w:rFonts w:cs="Arial"/>
          <w:b/>
          <w:bCs/>
          <w:color w:val="000000"/>
          <w:sz w:val="20"/>
          <w:szCs w:val="20"/>
        </w:rPr>
      </w:pPr>
      <w:r w:rsidRPr="001C277A">
        <w:rPr>
          <w:rFonts w:cs="Arial"/>
          <w:b/>
          <w:bCs/>
          <w:color w:val="000000"/>
          <w:sz w:val="20"/>
          <w:szCs w:val="20"/>
        </w:rPr>
        <w:t>• Unitized model portfolio chart</w:t>
      </w:r>
    </w:p>
    <w:p w14:paraId="07451EEF" w14:textId="77777777" w:rsidR="009D47ED" w:rsidRPr="001C277A" w:rsidRDefault="009D47ED" w:rsidP="009D47ED">
      <w:pPr>
        <w:autoSpaceDE w:val="0"/>
        <w:autoSpaceDN w:val="0"/>
        <w:adjustRightInd w:val="0"/>
        <w:spacing w:after="0" w:line="240" w:lineRule="auto"/>
        <w:jc w:val="both"/>
        <w:rPr>
          <w:rFonts w:cs="Arial"/>
          <w:bCs/>
          <w:color w:val="000000"/>
          <w:sz w:val="20"/>
          <w:szCs w:val="20"/>
        </w:rPr>
      </w:pPr>
      <w:r w:rsidRPr="001C277A">
        <w:rPr>
          <w:rFonts w:cs="Arial"/>
          <w:bCs/>
          <w:color w:val="000000"/>
          <w:sz w:val="20"/>
          <w:szCs w:val="20"/>
        </w:rPr>
        <w:t>- 4a displays the performance, fees, and expenses of the plan’s model portfolio options</w:t>
      </w:r>
    </w:p>
    <w:p w14:paraId="01C07C49" w14:textId="77777777" w:rsidR="009D47ED" w:rsidRPr="001C277A" w:rsidRDefault="009D47ED" w:rsidP="009D47ED">
      <w:pPr>
        <w:autoSpaceDE w:val="0"/>
        <w:autoSpaceDN w:val="0"/>
        <w:adjustRightInd w:val="0"/>
        <w:spacing w:after="0" w:line="240" w:lineRule="auto"/>
        <w:jc w:val="both"/>
        <w:rPr>
          <w:rFonts w:cs="Arial"/>
          <w:bCs/>
          <w:color w:val="000000"/>
          <w:sz w:val="20"/>
          <w:szCs w:val="20"/>
        </w:rPr>
      </w:pPr>
      <w:r w:rsidRPr="001C277A">
        <w:rPr>
          <w:rFonts w:cs="Arial"/>
          <w:bCs/>
          <w:color w:val="000000"/>
          <w:sz w:val="20"/>
          <w:szCs w:val="20"/>
        </w:rPr>
        <w:t>- 4b displays performance and expenses of the plan’s model portfolio options underlying investments options</w:t>
      </w:r>
    </w:p>
    <w:bookmarkEnd w:id="23"/>
    <w:p w14:paraId="184F1669" w14:textId="77777777" w:rsidR="00996D1F" w:rsidRPr="001C277A" w:rsidRDefault="00996D1F" w:rsidP="00B94F0C">
      <w:pPr>
        <w:autoSpaceDE w:val="0"/>
        <w:autoSpaceDN w:val="0"/>
        <w:adjustRightInd w:val="0"/>
        <w:spacing w:after="0" w:line="240" w:lineRule="auto"/>
        <w:jc w:val="both"/>
        <w:rPr>
          <w:rFonts w:cs="Arial"/>
          <w:b/>
          <w:bCs/>
          <w:color w:val="000000"/>
          <w:sz w:val="20"/>
          <w:szCs w:val="20"/>
        </w:rPr>
      </w:pPr>
    </w:p>
    <w:p w14:paraId="2D1B86F3" w14:textId="2D5327BB" w:rsidR="00306F30" w:rsidRPr="001C277A" w:rsidRDefault="002406C9" w:rsidP="00B94F0C">
      <w:pPr>
        <w:autoSpaceDE w:val="0"/>
        <w:autoSpaceDN w:val="0"/>
        <w:adjustRightInd w:val="0"/>
        <w:spacing w:after="0" w:line="240" w:lineRule="auto"/>
        <w:jc w:val="both"/>
        <w:rPr>
          <w:rFonts w:cs="Arial"/>
          <w:b/>
          <w:bCs/>
          <w:color w:val="000000"/>
          <w:sz w:val="20"/>
          <w:szCs w:val="20"/>
        </w:rPr>
      </w:pPr>
      <w:bookmarkStart w:id="24" w:name="PlanName3"/>
      <w:bookmarkEnd w:id="24"/>
      <w:proofErr w:type="spellStart"/>
      <w:r>
        <w:rPr>
          <w:rFonts w:cs="Arial"/>
          <w:b/>
          <w:bCs/>
          <w:color w:val="000000"/>
          <w:sz w:val="20"/>
          <w:szCs w:val="20"/>
        </w:rPr>
        <w:t>FlexPEP</w:t>
      </w:r>
      <w:proofErr w:type="spellEnd"/>
      <w:r>
        <w:rPr>
          <w:rFonts w:cs="Arial"/>
          <w:b/>
          <w:bCs/>
          <w:color w:val="000000"/>
          <w:sz w:val="20"/>
          <w:szCs w:val="20"/>
        </w:rPr>
        <w:t>(b) Pooled Employer 403(b) Plan as adopted by Moosilauke Visions, Inc.</w:t>
      </w:r>
      <w:r w:rsidR="00AE7696" w:rsidRPr="001C277A">
        <w:rPr>
          <w:rFonts w:cs="Arial"/>
          <w:b/>
          <w:bCs/>
          <w:color w:val="000000"/>
          <w:sz w:val="20"/>
          <w:szCs w:val="20"/>
        </w:rPr>
        <w:t xml:space="preserve"> </w:t>
      </w:r>
      <w:r w:rsidR="00306F30" w:rsidRPr="001C277A">
        <w:rPr>
          <w:rFonts w:cs="Arial"/>
          <w:b/>
          <w:bCs/>
          <w:color w:val="000000"/>
          <w:sz w:val="20"/>
          <w:szCs w:val="20"/>
        </w:rPr>
        <w:t>investment options</w:t>
      </w:r>
      <w:r w:rsidR="00C675DA" w:rsidRPr="001C277A">
        <w:rPr>
          <w:rFonts w:cs="Arial"/>
          <w:b/>
          <w:bCs/>
          <w:color w:val="000000"/>
          <w:sz w:val="20"/>
          <w:szCs w:val="20"/>
        </w:rPr>
        <w:t xml:space="preserve"> comparative chart</w:t>
      </w:r>
    </w:p>
    <w:p w14:paraId="1414D2B9" w14:textId="77777777" w:rsidR="00996D1F" w:rsidRPr="001C277A" w:rsidRDefault="00996D1F" w:rsidP="00B94F0C">
      <w:pPr>
        <w:autoSpaceDE w:val="0"/>
        <w:autoSpaceDN w:val="0"/>
        <w:adjustRightInd w:val="0"/>
        <w:spacing w:after="0" w:line="240" w:lineRule="auto"/>
        <w:jc w:val="both"/>
        <w:rPr>
          <w:rFonts w:cs="Arial"/>
          <w:b/>
          <w:bCs/>
          <w:color w:val="000000"/>
          <w:sz w:val="20"/>
          <w:szCs w:val="20"/>
        </w:rPr>
      </w:pPr>
    </w:p>
    <w:p w14:paraId="7DE4D0C1" w14:textId="77777777" w:rsidR="00306F30" w:rsidRPr="001C277A" w:rsidRDefault="00306F30" w:rsidP="00B94F0C">
      <w:pPr>
        <w:autoSpaceDE w:val="0"/>
        <w:autoSpaceDN w:val="0"/>
        <w:adjustRightInd w:val="0"/>
        <w:spacing w:after="120" w:line="240" w:lineRule="auto"/>
        <w:jc w:val="both"/>
        <w:rPr>
          <w:rFonts w:cs="Arial"/>
          <w:b/>
          <w:bCs/>
          <w:color w:val="000000"/>
          <w:sz w:val="20"/>
          <w:szCs w:val="20"/>
        </w:rPr>
      </w:pPr>
      <w:r w:rsidRPr="001C277A">
        <w:rPr>
          <w:rFonts w:cs="Arial"/>
          <w:b/>
          <w:bCs/>
          <w:color w:val="000000"/>
          <w:sz w:val="20"/>
          <w:szCs w:val="20"/>
        </w:rPr>
        <w:t>Chart 1 – Variable return investments</w:t>
      </w:r>
    </w:p>
    <w:p w14:paraId="4E297C3D"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Chart 1 focuses on the performance of investment options that do not have a fixed or stated rate of return. The chart</w:t>
      </w:r>
      <w:r w:rsidR="00044A56" w:rsidRPr="001C277A">
        <w:rPr>
          <w:rFonts w:cs="Arial"/>
          <w:color w:val="000000"/>
          <w:sz w:val="20"/>
          <w:szCs w:val="20"/>
        </w:rPr>
        <w:t xml:space="preserve"> </w:t>
      </w:r>
      <w:r w:rsidRPr="001C277A">
        <w:rPr>
          <w:rFonts w:cs="Arial"/>
          <w:color w:val="000000"/>
          <w:sz w:val="20"/>
          <w:szCs w:val="20"/>
        </w:rPr>
        <w:t>illustrates how these options have performed over time and allows you to compare them with an appropriate benchmark</w:t>
      </w:r>
      <w:r w:rsidR="00044A56" w:rsidRPr="001C277A">
        <w:rPr>
          <w:rFonts w:cs="Arial"/>
          <w:color w:val="000000"/>
          <w:sz w:val="20"/>
          <w:szCs w:val="20"/>
        </w:rPr>
        <w:t xml:space="preserve"> </w:t>
      </w:r>
      <w:r w:rsidRPr="001C277A">
        <w:rPr>
          <w:rFonts w:cs="Arial"/>
          <w:color w:val="000000"/>
          <w:sz w:val="20"/>
          <w:szCs w:val="20"/>
        </w:rPr>
        <w:t>for the same time periods.</w:t>
      </w:r>
    </w:p>
    <w:p w14:paraId="28902161" w14:textId="77777777" w:rsidR="00044A56" w:rsidRPr="001C277A" w:rsidRDefault="00044A56" w:rsidP="00B94F0C">
      <w:pPr>
        <w:autoSpaceDE w:val="0"/>
        <w:autoSpaceDN w:val="0"/>
        <w:adjustRightInd w:val="0"/>
        <w:spacing w:after="0" w:line="240" w:lineRule="auto"/>
        <w:jc w:val="both"/>
        <w:rPr>
          <w:rFonts w:cs="Arial"/>
          <w:color w:val="000000"/>
          <w:sz w:val="20"/>
          <w:szCs w:val="20"/>
        </w:rPr>
      </w:pPr>
    </w:p>
    <w:p w14:paraId="3C5D4B53" w14:textId="77777777" w:rsidR="00827ABD" w:rsidRPr="001C277A" w:rsidRDefault="00306F30" w:rsidP="007C3C83">
      <w:pPr>
        <w:autoSpaceDE w:val="0"/>
        <w:autoSpaceDN w:val="0"/>
        <w:adjustRightInd w:val="0"/>
        <w:spacing w:after="120" w:line="240" w:lineRule="auto"/>
        <w:jc w:val="both"/>
        <w:rPr>
          <w:rFonts w:cs="Arial"/>
          <w:color w:val="000000"/>
          <w:sz w:val="20"/>
          <w:szCs w:val="20"/>
        </w:rPr>
      </w:pPr>
      <w:r w:rsidRPr="001C277A">
        <w:rPr>
          <w:rFonts w:cs="Arial"/>
          <w:color w:val="000000"/>
          <w:sz w:val="20"/>
          <w:szCs w:val="20"/>
        </w:rPr>
        <w:t>Past performance does not guarantee how the investment option will perform in the future. Your investment in these options</w:t>
      </w:r>
      <w:r w:rsidR="00044A56" w:rsidRPr="001C277A">
        <w:rPr>
          <w:rFonts w:cs="Arial"/>
          <w:color w:val="000000"/>
          <w:sz w:val="20"/>
          <w:szCs w:val="20"/>
        </w:rPr>
        <w:t xml:space="preserve"> </w:t>
      </w:r>
      <w:r w:rsidRPr="001C277A">
        <w:rPr>
          <w:rFonts w:cs="Arial"/>
          <w:color w:val="000000"/>
          <w:sz w:val="20"/>
          <w:szCs w:val="20"/>
        </w:rPr>
        <w:t>could lose money. Information regarding an option’s principal risks is available at LincolnFinancial.com.</w:t>
      </w:r>
    </w:p>
    <w:p w14:paraId="05F8F3D4" w14:textId="77777777" w:rsidR="000955EF" w:rsidRPr="001C277A" w:rsidRDefault="000955EF" w:rsidP="007C3C83">
      <w:pPr>
        <w:autoSpaceDE w:val="0"/>
        <w:autoSpaceDN w:val="0"/>
        <w:adjustRightInd w:val="0"/>
        <w:spacing w:after="120" w:line="240" w:lineRule="auto"/>
        <w:jc w:val="both"/>
        <w:rPr>
          <w:rFonts w:cs="Arial"/>
          <w:color w:val="000000"/>
          <w:sz w:val="20"/>
          <w:szCs w:val="20"/>
        </w:rPr>
      </w:pPr>
      <w:bookmarkStart w:id="25" w:name="Chart1Start"/>
      <w:bookmarkEnd w:id="25"/>
    </w:p>
    <w:tbl>
      <w:tblPr>
        <w:tblStyle w:val="TableGrid"/>
        <w:tblW w:w="9468" w:type="dxa"/>
        <w:tblLook w:val="04A0" w:firstRow="1" w:lastRow="0" w:firstColumn="1" w:lastColumn="0" w:noHBand="0" w:noVBand="1"/>
      </w:tblPr>
      <w:tblGrid>
        <w:gridCol w:w="5659"/>
        <w:gridCol w:w="878"/>
        <w:gridCol w:w="821"/>
        <w:gridCol w:w="878"/>
        <w:gridCol w:w="1232"/>
      </w:tblGrid>
      <w:tr w:rsidR="009F1B9B" w:rsidRPr="001C277A" w14:paraId="5D51124E" w14:textId="77777777" w:rsidTr="00FB37CC">
        <w:trPr>
          <w:trHeight w:val="440"/>
        </w:trPr>
        <w:tc>
          <w:tcPr>
            <w:tcW w:w="9468" w:type="dxa"/>
            <w:gridSpan w:val="5"/>
            <w:shd w:val="clear" w:color="auto" w:fill="000000" w:themeFill="text1"/>
            <w:vAlign w:val="center"/>
          </w:tcPr>
          <w:p w14:paraId="3AAEC1E4" w14:textId="77777777" w:rsidR="009F1B9B" w:rsidRPr="001C277A" w:rsidRDefault="00581FCF" w:rsidP="009F1B9B">
            <w:pPr>
              <w:autoSpaceDE w:val="0"/>
              <w:autoSpaceDN w:val="0"/>
              <w:adjustRightInd w:val="0"/>
              <w:spacing w:after="120"/>
              <w:jc w:val="center"/>
              <w:rPr>
                <w:rFonts w:cs="Arial"/>
                <w:b/>
                <w:color w:val="FFFFFF" w:themeColor="background1"/>
                <w:sz w:val="18"/>
                <w:szCs w:val="18"/>
              </w:rPr>
            </w:pPr>
            <w:r w:rsidRPr="001C277A">
              <w:rPr>
                <w:rFonts w:cs="Arial"/>
                <w:b/>
                <w:color w:val="FFFFFF" w:themeColor="background1"/>
                <w:sz w:val="18"/>
                <w:szCs w:val="18"/>
              </w:rPr>
              <w:t>Chart 1 – Variable return investments</w:t>
            </w:r>
          </w:p>
        </w:tc>
      </w:tr>
      <w:tr w:rsidR="00581FCF" w:rsidRPr="001C277A" w14:paraId="2AE54260" w14:textId="77777777" w:rsidTr="00FB37CC">
        <w:tc>
          <w:tcPr>
            <w:tcW w:w="5659" w:type="dxa"/>
            <w:tcBorders>
              <w:bottom w:val="nil"/>
            </w:tcBorders>
            <w:vAlign w:val="center"/>
          </w:tcPr>
          <w:p w14:paraId="0A38294F" w14:textId="77777777" w:rsidR="00581FCF"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Investment options</w:t>
            </w:r>
          </w:p>
        </w:tc>
        <w:tc>
          <w:tcPr>
            <w:tcW w:w="3809" w:type="dxa"/>
            <w:gridSpan w:val="4"/>
            <w:vAlign w:val="center"/>
          </w:tcPr>
          <w:p w14:paraId="27956F8D" w14:textId="5414340C" w:rsidR="00581FCF"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 xml:space="preserve">Average annual total return as of </w:t>
            </w:r>
            <w:bookmarkStart w:id="26" w:name="QEchart1"/>
            <w:bookmarkEnd w:id="26"/>
            <w:r w:rsidR="00167F99" w:rsidRPr="001C277A">
              <w:rPr>
                <w:rFonts w:ascii="Arial Narrow" w:hAnsi="Arial Narrow" w:cs="Arial"/>
                <w:b/>
                <w:color w:val="000000"/>
                <w:sz w:val="18"/>
                <w:szCs w:val="18"/>
              </w:rPr>
              <w:t>3/31/2024</w:t>
            </w:r>
          </w:p>
        </w:tc>
      </w:tr>
      <w:tr w:rsidR="009F1B9B" w:rsidRPr="001C277A" w14:paraId="794F8FB6" w14:textId="77777777" w:rsidTr="00167F99">
        <w:tc>
          <w:tcPr>
            <w:tcW w:w="5659" w:type="dxa"/>
            <w:tcBorders>
              <w:top w:val="nil"/>
              <w:bottom w:val="nil"/>
            </w:tcBorders>
          </w:tcPr>
          <w:p w14:paraId="383021A9" w14:textId="77777777" w:rsidR="009F1B9B" w:rsidRPr="001C277A" w:rsidRDefault="009F1B9B" w:rsidP="007C3C83">
            <w:pPr>
              <w:autoSpaceDE w:val="0"/>
              <w:autoSpaceDN w:val="0"/>
              <w:adjustRightInd w:val="0"/>
              <w:spacing w:after="120"/>
              <w:jc w:val="both"/>
              <w:rPr>
                <w:rFonts w:ascii="Arial Narrow" w:hAnsi="Arial Narrow" w:cs="Arial"/>
                <w:color w:val="000000"/>
                <w:sz w:val="18"/>
                <w:szCs w:val="18"/>
              </w:rPr>
            </w:pPr>
          </w:p>
        </w:tc>
        <w:tc>
          <w:tcPr>
            <w:tcW w:w="878" w:type="dxa"/>
            <w:vAlign w:val="center"/>
          </w:tcPr>
          <w:p w14:paraId="2988207F" w14:textId="77777777" w:rsidR="009F1B9B"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1-yr.</w:t>
            </w:r>
          </w:p>
        </w:tc>
        <w:tc>
          <w:tcPr>
            <w:tcW w:w="821" w:type="dxa"/>
            <w:vAlign w:val="center"/>
          </w:tcPr>
          <w:p w14:paraId="66536247" w14:textId="77777777" w:rsidR="009F1B9B"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5-yr.</w:t>
            </w:r>
          </w:p>
        </w:tc>
        <w:tc>
          <w:tcPr>
            <w:tcW w:w="878" w:type="dxa"/>
            <w:vAlign w:val="center"/>
          </w:tcPr>
          <w:p w14:paraId="27EE3C33" w14:textId="77777777" w:rsidR="009F1B9B"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10-yr.</w:t>
            </w:r>
          </w:p>
        </w:tc>
        <w:tc>
          <w:tcPr>
            <w:tcW w:w="1232" w:type="dxa"/>
            <w:vAlign w:val="center"/>
          </w:tcPr>
          <w:p w14:paraId="79883469" w14:textId="77777777" w:rsidR="009F1B9B" w:rsidRPr="001C277A" w:rsidRDefault="00581FCF" w:rsidP="00581FCF">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Since Inception</w:t>
            </w:r>
          </w:p>
        </w:tc>
      </w:tr>
      <w:tr w:rsidR="00167F99" w:rsidRPr="001C277A" w14:paraId="7208E3E7" w14:textId="77777777" w:rsidTr="00167F99">
        <w:trPr>
          <w:trHeight w:val="320"/>
        </w:trPr>
        <w:tc>
          <w:tcPr>
            <w:tcW w:w="5659" w:type="dxa"/>
            <w:tcBorders>
              <w:top w:val="nil"/>
              <w:bottom w:val="single" w:sz="4" w:space="0" w:color="auto"/>
            </w:tcBorders>
            <w:shd w:val="clear" w:color="auto" w:fill="000000"/>
            <w:vAlign w:val="center"/>
          </w:tcPr>
          <w:p w14:paraId="652E8DBE" w14:textId="5A1C18F1" w:rsidR="00167F99" w:rsidRPr="001C277A" w:rsidRDefault="00167F99" w:rsidP="00167F99">
            <w:pPr>
              <w:autoSpaceDE w:val="0"/>
              <w:autoSpaceDN w:val="0"/>
              <w:adjustRightInd w:val="0"/>
              <w:spacing w:after="120"/>
              <w:rPr>
                <w:rFonts w:ascii="Arial Narrow" w:hAnsi="Arial Narrow" w:cs="Arial"/>
                <w:b/>
                <w:color w:val="FFFFFF"/>
                <w:sz w:val="18"/>
                <w:szCs w:val="18"/>
              </w:rPr>
            </w:pPr>
            <w:r w:rsidRPr="001C277A">
              <w:rPr>
                <w:rFonts w:ascii="Arial Narrow" w:hAnsi="Arial Narrow" w:cs="Arial"/>
                <w:b/>
                <w:color w:val="FFFFFF"/>
                <w:sz w:val="18"/>
                <w:szCs w:val="18"/>
              </w:rPr>
              <w:t>Equity Funds</w:t>
            </w:r>
          </w:p>
        </w:tc>
        <w:tc>
          <w:tcPr>
            <w:tcW w:w="878" w:type="dxa"/>
            <w:tcBorders>
              <w:bottom w:val="single" w:sz="4" w:space="0" w:color="auto"/>
            </w:tcBorders>
            <w:shd w:val="clear" w:color="auto" w:fill="000000"/>
            <w:vAlign w:val="center"/>
          </w:tcPr>
          <w:p w14:paraId="460099CD" w14:textId="77777777" w:rsidR="00167F99" w:rsidRPr="001C277A" w:rsidRDefault="00167F99" w:rsidP="00167F99">
            <w:pPr>
              <w:autoSpaceDE w:val="0"/>
              <w:autoSpaceDN w:val="0"/>
              <w:adjustRightInd w:val="0"/>
              <w:spacing w:after="120"/>
              <w:rPr>
                <w:rFonts w:ascii="Arial Narrow" w:hAnsi="Arial Narrow" w:cs="Arial"/>
                <w:b/>
                <w:color w:val="FFFFFF"/>
                <w:sz w:val="18"/>
                <w:szCs w:val="18"/>
              </w:rPr>
            </w:pPr>
          </w:p>
        </w:tc>
        <w:tc>
          <w:tcPr>
            <w:tcW w:w="821" w:type="dxa"/>
            <w:tcBorders>
              <w:bottom w:val="single" w:sz="4" w:space="0" w:color="auto"/>
            </w:tcBorders>
            <w:shd w:val="clear" w:color="auto" w:fill="000000"/>
            <w:vAlign w:val="center"/>
          </w:tcPr>
          <w:p w14:paraId="201916E8" w14:textId="77777777" w:rsidR="00167F99" w:rsidRPr="001C277A" w:rsidRDefault="00167F99" w:rsidP="00167F99">
            <w:pPr>
              <w:autoSpaceDE w:val="0"/>
              <w:autoSpaceDN w:val="0"/>
              <w:adjustRightInd w:val="0"/>
              <w:spacing w:after="120"/>
              <w:rPr>
                <w:rFonts w:ascii="Arial Narrow" w:hAnsi="Arial Narrow" w:cs="Arial"/>
                <w:b/>
                <w:color w:val="FFFFFF"/>
                <w:sz w:val="18"/>
                <w:szCs w:val="18"/>
              </w:rPr>
            </w:pPr>
          </w:p>
        </w:tc>
        <w:tc>
          <w:tcPr>
            <w:tcW w:w="878" w:type="dxa"/>
            <w:tcBorders>
              <w:bottom w:val="single" w:sz="4" w:space="0" w:color="auto"/>
            </w:tcBorders>
            <w:shd w:val="clear" w:color="auto" w:fill="000000"/>
            <w:vAlign w:val="center"/>
          </w:tcPr>
          <w:p w14:paraId="7D90760E" w14:textId="77777777" w:rsidR="00167F99" w:rsidRPr="001C277A" w:rsidRDefault="00167F99" w:rsidP="00167F99">
            <w:pPr>
              <w:autoSpaceDE w:val="0"/>
              <w:autoSpaceDN w:val="0"/>
              <w:adjustRightInd w:val="0"/>
              <w:spacing w:after="120"/>
              <w:rPr>
                <w:rFonts w:ascii="Arial Narrow" w:hAnsi="Arial Narrow" w:cs="Arial"/>
                <w:b/>
                <w:color w:val="FFFFFF"/>
                <w:sz w:val="18"/>
                <w:szCs w:val="18"/>
              </w:rPr>
            </w:pPr>
          </w:p>
        </w:tc>
        <w:tc>
          <w:tcPr>
            <w:tcW w:w="1232" w:type="dxa"/>
            <w:tcBorders>
              <w:bottom w:val="single" w:sz="4" w:space="0" w:color="auto"/>
            </w:tcBorders>
            <w:shd w:val="clear" w:color="auto" w:fill="000000"/>
            <w:vAlign w:val="center"/>
          </w:tcPr>
          <w:p w14:paraId="2A0DE4A2" w14:textId="77777777" w:rsidR="00167F99" w:rsidRPr="001C277A" w:rsidRDefault="00167F99" w:rsidP="00167F99">
            <w:pPr>
              <w:autoSpaceDE w:val="0"/>
              <w:autoSpaceDN w:val="0"/>
              <w:adjustRightInd w:val="0"/>
              <w:spacing w:after="120"/>
              <w:rPr>
                <w:rFonts w:ascii="Arial Narrow" w:hAnsi="Arial Narrow" w:cs="Arial"/>
                <w:b/>
                <w:color w:val="FFFFFF"/>
                <w:sz w:val="18"/>
                <w:szCs w:val="18"/>
              </w:rPr>
            </w:pPr>
          </w:p>
        </w:tc>
      </w:tr>
      <w:tr w:rsidR="00167F99" w:rsidRPr="001C277A" w14:paraId="467AC83B" w14:textId="77777777" w:rsidTr="00167F99">
        <w:trPr>
          <w:trHeight w:hRule="exact" w:val="230"/>
        </w:trPr>
        <w:tc>
          <w:tcPr>
            <w:tcW w:w="5659" w:type="dxa"/>
            <w:tcBorders>
              <w:top w:val="single" w:sz="4" w:space="0" w:color="auto"/>
              <w:left w:val="nil"/>
              <w:bottom w:val="nil"/>
              <w:right w:val="nil"/>
            </w:tcBorders>
            <w:shd w:val="clear" w:color="auto" w:fill="auto"/>
            <w:vAlign w:val="center"/>
          </w:tcPr>
          <w:p w14:paraId="4B35128C" w14:textId="6F605214"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American Funds Growth Fund of Amer R6</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05/09)</w:t>
            </w:r>
          </w:p>
        </w:tc>
        <w:tc>
          <w:tcPr>
            <w:tcW w:w="878" w:type="dxa"/>
            <w:tcBorders>
              <w:top w:val="single" w:sz="4" w:space="0" w:color="auto"/>
              <w:left w:val="nil"/>
              <w:bottom w:val="nil"/>
              <w:right w:val="nil"/>
            </w:tcBorders>
            <w:shd w:val="clear" w:color="auto" w:fill="auto"/>
            <w:vAlign w:val="center"/>
          </w:tcPr>
          <w:p w14:paraId="4E155B53" w14:textId="5D39B08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39.32%</w:t>
            </w:r>
          </w:p>
        </w:tc>
        <w:tc>
          <w:tcPr>
            <w:tcW w:w="821" w:type="dxa"/>
            <w:tcBorders>
              <w:top w:val="single" w:sz="4" w:space="0" w:color="auto"/>
              <w:left w:val="nil"/>
              <w:bottom w:val="nil"/>
              <w:right w:val="nil"/>
            </w:tcBorders>
            <w:shd w:val="clear" w:color="auto" w:fill="auto"/>
            <w:vAlign w:val="center"/>
          </w:tcPr>
          <w:p w14:paraId="245D7085" w14:textId="09359D7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15.02%</w:t>
            </w:r>
          </w:p>
        </w:tc>
        <w:tc>
          <w:tcPr>
            <w:tcW w:w="878" w:type="dxa"/>
            <w:tcBorders>
              <w:top w:val="single" w:sz="4" w:space="0" w:color="auto"/>
              <w:left w:val="nil"/>
              <w:bottom w:val="nil"/>
              <w:right w:val="nil"/>
            </w:tcBorders>
            <w:shd w:val="clear" w:color="auto" w:fill="auto"/>
            <w:vAlign w:val="center"/>
          </w:tcPr>
          <w:p w14:paraId="2FB27157" w14:textId="68E7563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13.43%</w:t>
            </w:r>
          </w:p>
        </w:tc>
        <w:tc>
          <w:tcPr>
            <w:tcW w:w="1232" w:type="dxa"/>
            <w:tcBorders>
              <w:top w:val="single" w:sz="4" w:space="0" w:color="auto"/>
              <w:left w:val="nil"/>
              <w:bottom w:val="nil"/>
              <w:right w:val="nil"/>
            </w:tcBorders>
            <w:shd w:val="clear" w:color="auto" w:fill="auto"/>
            <w:vAlign w:val="center"/>
          </w:tcPr>
          <w:p w14:paraId="6BB2D3F8" w14:textId="0DE46B3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14.89%</w:t>
            </w:r>
          </w:p>
        </w:tc>
      </w:tr>
      <w:tr w:rsidR="00167F99" w:rsidRPr="001C277A" w14:paraId="6A83DD62" w14:textId="77777777" w:rsidTr="00167F99">
        <w:trPr>
          <w:trHeight w:hRule="exact" w:val="230"/>
        </w:trPr>
        <w:tc>
          <w:tcPr>
            <w:tcW w:w="5659" w:type="dxa"/>
            <w:tcBorders>
              <w:top w:val="nil"/>
              <w:left w:val="nil"/>
              <w:bottom w:val="nil"/>
              <w:right w:val="nil"/>
            </w:tcBorders>
            <w:shd w:val="clear" w:color="auto" w:fill="auto"/>
            <w:vAlign w:val="center"/>
          </w:tcPr>
          <w:p w14:paraId="08F0A56E" w14:textId="5FD0E027"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LM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Growth TR USD</w:t>
            </w:r>
          </w:p>
        </w:tc>
        <w:tc>
          <w:tcPr>
            <w:tcW w:w="878" w:type="dxa"/>
            <w:tcBorders>
              <w:top w:val="nil"/>
              <w:left w:val="nil"/>
              <w:bottom w:val="nil"/>
              <w:right w:val="nil"/>
            </w:tcBorders>
            <w:shd w:val="clear" w:color="auto" w:fill="auto"/>
            <w:vAlign w:val="center"/>
          </w:tcPr>
          <w:p w14:paraId="130710DB" w14:textId="6B34130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37.41%</w:t>
            </w:r>
          </w:p>
        </w:tc>
        <w:tc>
          <w:tcPr>
            <w:tcW w:w="821" w:type="dxa"/>
            <w:tcBorders>
              <w:top w:val="nil"/>
              <w:left w:val="nil"/>
              <w:bottom w:val="nil"/>
              <w:right w:val="nil"/>
            </w:tcBorders>
            <w:shd w:val="clear" w:color="auto" w:fill="auto"/>
            <w:vAlign w:val="center"/>
          </w:tcPr>
          <w:p w14:paraId="111E5543" w14:textId="47CBE696"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16.58%</w:t>
            </w:r>
          </w:p>
        </w:tc>
        <w:tc>
          <w:tcPr>
            <w:tcW w:w="878" w:type="dxa"/>
            <w:tcBorders>
              <w:top w:val="nil"/>
              <w:left w:val="nil"/>
              <w:bottom w:val="nil"/>
              <w:right w:val="nil"/>
            </w:tcBorders>
            <w:shd w:val="clear" w:color="auto" w:fill="auto"/>
            <w:vAlign w:val="center"/>
          </w:tcPr>
          <w:p w14:paraId="53B9AB8D" w14:textId="7459F4E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14.55%</w:t>
            </w:r>
          </w:p>
        </w:tc>
        <w:tc>
          <w:tcPr>
            <w:tcW w:w="1232" w:type="dxa"/>
            <w:tcBorders>
              <w:top w:val="nil"/>
              <w:left w:val="nil"/>
              <w:bottom w:val="nil"/>
              <w:right w:val="nil"/>
            </w:tcBorders>
            <w:shd w:val="clear" w:color="auto" w:fill="auto"/>
            <w:vAlign w:val="center"/>
          </w:tcPr>
          <w:p w14:paraId="14F7339D" w14:textId="3A15887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6FC75C2" w14:textId="77777777" w:rsidTr="00167F99">
        <w:trPr>
          <w:trHeight w:hRule="exact" w:val="230"/>
        </w:trPr>
        <w:tc>
          <w:tcPr>
            <w:tcW w:w="5659" w:type="dxa"/>
            <w:tcBorders>
              <w:top w:val="nil"/>
              <w:left w:val="nil"/>
              <w:bottom w:val="single" w:sz="4" w:space="0" w:color="auto"/>
              <w:right w:val="nil"/>
            </w:tcBorders>
            <w:shd w:val="clear" w:color="auto" w:fill="auto"/>
            <w:vAlign w:val="center"/>
          </w:tcPr>
          <w:p w14:paraId="31A4041F" w14:textId="7E3E7362"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7C3EF20C"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15D8BFEE"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3747D3D2"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5995E845"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4811689E" w14:textId="77777777" w:rsidTr="00167F99">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0804290A" w14:textId="5EE75814"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DFA International Large Cap Growth</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12/12)</w:t>
            </w:r>
          </w:p>
        </w:tc>
        <w:tc>
          <w:tcPr>
            <w:tcW w:w="878" w:type="dxa"/>
            <w:tcBorders>
              <w:top w:val="single" w:sz="4" w:space="0" w:color="auto"/>
              <w:left w:val="nil"/>
              <w:bottom w:val="nil"/>
              <w:right w:val="nil"/>
            </w:tcBorders>
            <w:shd w:val="clear" w:color="auto" w:fill="D9D9D9" w:themeFill="background1" w:themeFillShade="D9"/>
            <w:vAlign w:val="center"/>
          </w:tcPr>
          <w:p w14:paraId="22A71DBB" w14:textId="6C2AD992"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13.50%</w:t>
            </w:r>
          </w:p>
        </w:tc>
        <w:tc>
          <w:tcPr>
            <w:tcW w:w="821" w:type="dxa"/>
            <w:tcBorders>
              <w:top w:val="single" w:sz="4" w:space="0" w:color="auto"/>
              <w:left w:val="nil"/>
              <w:bottom w:val="nil"/>
              <w:right w:val="nil"/>
            </w:tcBorders>
            <w:shd w:val="clear" w:color="auto" w:fill="D9D9D9" w:themeFill="background1" w:themeFillShade="D9"/>
            <w:vAlign w:val="center"/>
          </w:tcPr>
          <w:p w14:paraId="002C5226" w14:textId="42E99BD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8.24%</w:t>
            </w:r>
          </w:p>
        </w:tc>
        <w:tc>
          <w:tcPr>
            <w:tcW w:w="878" w:type="dxa"/>
            <w:tcBorders>
              <w:top w:val="single" w:sz="4" w:space="0" w:color="auto"/>
              <w:left w:val="nil"/>
              <w:bottom w:val="nil"/>
              <w:right w:val="nil"/>
            </w:tcBorders>
            <w:shd w:val="clear" w:color="auto" w:fill="D9D9D9" w:themeFill="background1" w:themeFillShade="D9"/>
            <w:vAlign w:val="center"/>
          </w:tcPr>
          <w:p w14:paraId="3F582CA9" w14:textId="170D67C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5.59%</w:t>
            </w:r>
          </w:p>
        </w:tc>
        <w:tc>
          <w:tcPr>
            <w:tcW w:w="1232" w:type="dxa"/>
            <w:tcBorders>
              <w:top w:val="single" w:sz="4" w:space="0" w:color="auto"/>
              <w:left w:val="nil"/>
              <w:bottom w:val="nil"/>
              <w:right w:val="nil"/>
            </w:tcBorders>
            <w:shd w:val="clear" w:color="auto" w:fill="D9D9D9" w:themeFill="background1" w:themeFillShade="D9"/>
            <w:vAlign w:val="center"/>
          </w:tcPr>
          <w:p w14:paraId="34B6135B" w14:textId="7853AFE8"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7.00%</w:t>
            </w:r>
          </w:p>
        </w:tc>
      </w:tr>
      <w:tr w:rsidR="00167F99" w:rsidRPr="001C277A" w14:paraId="4E7543F2" w14:textId="77777777" w:rsidTr="00167F99">
        <w:trPr>
          <w:trHeight w:hRule="exact" w:val="230"/>
        </w:trPr>
        <w:tc>
          <w:tcPr>
            <w:tcW w:w="5659" w:type="dxa"/>
            <w:tcBorders>
              <w:top w:val="nil"/>
              <w:left w:val="nil"/>
              <w:bottom w:val="nil"/>
              <w:right w:val="nil"/>
            </w:tcBorders>
            <w:shd w:val="clear" w:color="auto" w:fill="D9D9D9" w:themeFill="background1" w:themeFillShade="D9"/>
            <w:vAlign w:val="center"/>
          </w:tcPr>
          <w:p w14:paraId="644D3CDF" w14:textId="03BC888A"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w:t>
            </w:r>
            <w:proofErr w:type="spellStart"/>
            <w:r w:rsidRPr="001C277A">
              <w:rPr>
                <w:rFonts w:ascii="Arial Narrow" w:hAnsi="Arial Narrow" w:cs="Arial"/>
                <w:sz w:val="18"/>
                <w:szCs w:val="18"/>
              </w:rPr>
              <w:t>Gbl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xUS</w:t>
            </w:r>
            <w:proofErr w:type="spellEnd"/>
            <w:r w:rsidRPr="001C277A">
              <w:rPr>
                <w:rFonts w:ascii="Arial Narrow" w:hAnsi="Arial Narrow" w:cs="Arial"/>
                <w:sz w:val="18"/>
                <w:szCs w:val="18"/>
              </w:rPr>
              <w:t xml:space="preserve"> Growth TME NR USD</w:t>
            </w:r>
          </w:p>
        </w:tc>
        <w:tc>
          <w:tcPr>
            <w:tcW w:w="878" w:type="dxa"/>
            <w:tcBorders>
              <w:top w:val="nil"/>
              <w:left w:val="nil"/>
              <w:bottom w:val="nil"/>
              <w:right w:val="nil"/>
            </w:tcBorders>
            <w:shd w:val="clear" w:color="auto" w:fill="D9D9D9" w:themeFill="background1" w:themeFillShade="D9"/>
            <w:vAlign w:val="center"/>
          </w:tcPr>
          <w:p w14:paraId="02252250" w14:textId="72CEBFA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11.56%</w:t>
            </w:r>
          </w:p>
        </w:tc>
        <w:tc>
          <w:tcPr>
            <w:tcW w:w="821" w:type="dxa"/>
            <w:tcBorders>
              <w:top w:val="nil"/>
              <w:left w:val="nil"/>
              <w:bottom w:val="nil"/>
              <w:right w:val="nil"/>
            </w:tcBorders>
            <w:shd w:val="clear" w:color="auto" w:fill="D9D9D9" w:themeFill="background1" w:themeFillShade="D9"/>
            <w:vAlign w:val="center"/>
          </w:tcPr>
          <w:p w14:paraId="65A20EBB" w14:textId="009AE88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6.01%</w:t>
            </w:r>
          </w:p>
        </w:tc>
        <w:tc>
          <w:tcPr>
            <w:tcW w:w="878" w:type="dxa"/>
            <w:tcBorders>
              <w:top w:val="nil"/>
              <w:left w:val="nil"/>
              <w:bottom w:val="nil"/>
              <w:right w:val="nil"/>
            </w:tcBorders>
            <w:shd w:val="clear" w:color="auto" w:fill="D9D9D9" w:themeFill="background1" w:themeFillShade="D9"/>
            <w:vAlign w:val="center"/>
          </w:tcPr>
          <w:p w14:paraId="151C1A91" w14:textId="51D800F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4.82%</w:t>
            </w:r>
          </w:p>
        </w:tc>
        <w:tc>
          <w:tcPr>
            <w:tcW w:w="1232" w:type="dxa"/>
            <w:tcBorders>
              <w:top w:val="nil"/>
              <w:left w:val="nil"/>
              <w:bottom w:val="nil"/>
              <w:right w:val="nil"/>
            </w:tcBorders>
            <w:shd w:val="clear" w:color="auto" w:fill="D9D9D9" w:themeFill="background1" w:themeFillShade="D9"/>
            <w:vAlign w:val="center"/>
          </w:tcPr>
          <w:p w14:paraId="7233F61A" w14:textId="66AA408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2B3C5DA9" w14:textId="77777777" w:rsidTr="00167F99">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0E7EB41A" w14:textId="45E1DFFB"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2DCFF953"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1E9CC19E"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7EBC836A"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210A827B"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706BC3D3" w14:textId="77777777" w:rsidTr="00167F99">
        <w:trPr>
          <w:trHeight w:hRule="exact" w:val="230"/>
        </w:trPr>
        <w:tc>
          <w:tcPr>
            <w:tcW w:w="5659" w:type="dxa"/>
            <w:tcBorders>
              <w:top w:val="single" w:sz="4" w:space="0" w:color="auto"/>
              <w:left w:val="nil"/>
              <w:bottom w:val="nil"/>
              <w:right w:val="nil"/>
            </w:tcBorders>
            <w:shd w:val="clear" w:color="auto" w:fill="auto"/>
            <w:vAlign w:val="center"/>
          </w:tcPr>
          <w:p w14:paraId="77545045" w14:textId="7144613F"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Fidelity Large Cap Value Index</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06/16)</w:t>
            </w:r>
          </w:p>
        </w:tc>
        <w:tc>
          <w:tcPr>
            <w:tcW w:w="878" w:type="dxa"/>
            <w:tcBorders>
              <w:top w:val="single" w:sz="4" w:space="0" w:color="auto"/>
              <w:left w:val="nil"/>
              <w:bottom w:val="nil"/>
              <w:right w:val="nil"/>
            </w:tcBorders>
            <w:shd w:val="clear" w:color="auto" w:fill="auto"/>
            <w:vAlign w:val="center"/>
          </w:tcPr>
          <w:p w14:paraId="7898561B" w14:textId="6753A7C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20.28%</w:t>
            </w:r>
          </w:p>
        </w:tc>
        <w:tc>
          <w:tcPr>
            <w:tcW w:w="821" w:type="dxa"/>
            <w:tcBorders>
              <w:top w:val="single" w:sz="4" w:space="0" w:color="auto"/>
              <w:left w:val="nil"/>
              <w:bottom w:val="nil"/>
              <w:right w:val="nil"/>
            </w:tcBorders>
            <w:shd w:val="clear" w:color="auto" w:fill="auto"/>
            <w:vAlign w:val="center"/>
          </w:tcPr>
          <w:p w14:paraId="072C5182" w14:textId="0F5904F8"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10.30%</w:t>
            </w:r>
          </w:p>
        </w:tc>
        <w:tc>
          <w:tcPr>
            <w:tcW w:w="878" w:type="dxa"/>
            <w:tcBorders>
              <w:top w:val="single" w:sz="4" w:space="0" w:color="auto"/>
              <w:left w:val="nil"/>
              <w:bottom w:val="nil"/>
              <w:right w:val="nil"/>
            </w:tcBorders>
            <w:shd w:val="clear" w:color="auto" w:fill="auto"/>
            <w:vAlign w:val="center"/>
          </w:tcPr>
          <w:p w14:paraId="4A3F99E7" w14:textId="652058F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c>
          <w:tcPr>
            <w:tcW w:w="1232" w:type="dxa"/>
            <w:tcBorders>
              <w:top w:val="single" w:sz="4" w:space="0" w:color="auto"/>
              <w:left w:val="nil"/>
              <w:bottom w:val="nil"/>
              <w:right w:val="nil"/>
            </w:tcBorders>
            <w:shd w:val="clear" w:color="auto" w:fill="auto"/>
            <w:vAlign w:val="center"/>
          </w:tcPr>
          <w:p w14:paraId="05001D2C" w14:textId="2502B2E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9.96%</w:t>
            </w:r>
          </w:p>
        </w:tc>
      </w:tr>
      <w:tr w:rsidR="00167F99" w:rsidRPr="001C277A" w14:paraId="2CF8A0C6" w14:textId="77777777" w:rsidTr="00167F99">
        <w:trPr>
          <w:trHeight w:hRule="exact" w:val="230"/>
        </w:trPr>
        <w:tc>
          <w:tcPr>
            <w:tcW w:w="5659" w:type="dxa"/>
            <w:tcBorders>
              <w:top w:val="nil"/>
              <w:left w:val="nil"/>
              <w:bottom w:val="nil"/>
              <w:right w:val="nil"/>
            </w:tcBorders>
            <w:shd w:val="clear" w:color="auto" w:fill="auto"/>
            <w:vAlign w:val="center"/>
          </w:tcPr>
          <w:p w14:paraId="5424DBB6" w14:textId="593C9895"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LM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Val TR USD</w:t>
            </w:r>
          </w:p>
        </w:tc>
        <w:tc>
          <w:tcPr>
            <w:tcW w:w="878" w:type="dxa"/>
            <w:tcBorders>
              <w:top w:val="nil"/>
              <w:left w:val="nil"/>
              <w:bottom w:val="nil"/>
              <w:right w:val="nil"/>
            </w:tcBorders>
            <w:shd w:val="clear" w:color="auto" w:fill="auto"/>
            <w:vAlign w:val="center"/>
          </w:tcPr>
          <w:p w14:paraId="250DCA62" w14:textId="04B65F0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23.12%</w:t>
            </w:r>
          </w:p>
        </w:tc>
        <w:tc>
          <w:tcPr>
            <w:tcW w:w="821" w:type="dxa"/>
            <w:tcBorders>
              <w:top w:val="nil"/>
              <w:left w:val="nil"/>
              <w:bottom w:val="nil"/>
              <w:right w:val="nil"/>
            </w:tcBorders>
            <w:shd w:val="clear" w:color="auto" w:fill="auto"/>
            <w:vAlign w:val="center"/>
          </w:tcPr>
          <w:p w14:paraId="1D19CF58" w14:textId="636758C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12.26%</w:t>
            </w:r>
          </w:p>
        </w:tc>
        <w:tc>
          <w:tcPr>
            <w:tcW w:w="878" w:type="dxa"/>
            <w:tcBorders>
              <w:top w:val="nil"/>
              <w:left w:val="nil"/>
              <w:bottom w:val="nil"/>
              <w:right w:val="nil"/>
            </w:tcBorders>
            <w:shd w:val="clear" w:color="auto" w:fill="auto"/>
            <w:vAlign w:val="center"/>
          </w:tcPr>
          <w:p w14:paraId="02343039" w14:textId="0EC63CC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10.59%</w:t>
            </w:r>
          </w:p>
        </w:tc>
        <w:tc>
          <w:tcPr>
            <w:tcW w:w="1232" w:type="dxa"/>
            <w:tcBorders>
              <w:top w:val="nil"/>
              <w:left w:val="nil"/>
              <w:bottom w:val="nil"/>
              <w:right w:val="nil"/>
            </w:tcBorders>
            <w:shd w:val="clear" w:color="auto" w:fill="auto"/>
            <w:vAlign w:val="center"/>
          </w:tcPr>
          <w:p w14:paraId="272AB89A" w14:textId="6615D696"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5E85F270" w14:textId="77777777" w:rsidTr="00167F99">
        <w:trPr>
          <w:trHeight w:hRule="exact" w:val="230"/>
        </w:trPr>
        <w:tc>
          <w:tcPr>
            <w:tcW w:w="5659" w:type="dxa"/>
            <w:tcBorders>
              <w:top w:val="nil"/>
              <w:left w:val="nil"/>
              <w:bottom w:val="single" w:sz="4" w:space="0" w:color="auto"/>
              <w:right w:val="nil"/>
            </w:tcBorders>
            <w:shd w:val="clear" w:color="auto" w:fill="auto"/>
            <w:vAlign w:val="center"/>
          </w:tcPr>
          <w:p w14:paraId="57D466D5" w14:textId="53B2A3FA"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0A79E73A"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01A85A7D"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32A42CA7"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5F51C1D5"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bl>
    <w:p w14:paraId="269E96A8" w14:textId="77777777" w:rsidR="00CA5932" w:rsidRPr="001C277A" w:rsidRDefault="00CA5932">
      <w:r w:rsidRPr="001C277A">
        <w:br w:type="page"/>
      </w:r>
    </w:p>
    <w:tbl>
      <w:tblPr>
        <w:tblStyle w:val="TableGrid"/>
        <w:tblW w:w="9468" w:type="dxa"/>
        <w:tblLook w:val="04A0" w:firstRow="1" w:lastRow="0" w:firstColumn="1" w:lastColumn="0" w:noHBand="0" w:noVBand="1"/>
      </w:tblPr>
      <w:tblGrid>
        <w:gridCol w:w="5659"/>
        <w:gridCol w:w="878"/>
        <w:gridCol w:w="821"/>
        <w:gridCol w:w="878"/>
        <w:gridCol w:w="1232"/>
      </w:tblGrid>
      <w:tr w:rsidR="00CA5932" w:rsidRPr="001C277A" w14:paraId="272A9E3D" w14:textId="77777777" w:rsidTr="00CA5932">
        <w:tc>
          <w:tcPr>
            <w:tcW w:w="5659" w:type="dxa"/>
            <w:tcBorders>
              <w:bottom w:val="nil"/>
            </w:tcBorders>
            <w:vAlign w:val="center"/>
          </w:tcPr>
          <w:p w14:paraId="375BB104"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lastRenderedPageBreak/>
              <w:t>Investment options</w:t>
            </w:r>
          </w:p>
        </w:tc>
        <w:tc>
          <w:tcPr>
            <w:tcW w:w="3809" w:type="dxa"/>
            <w:gridSpan w:val="4"/>
            <w:vAlign w:val="center"/>
          </w:tcPr>
          <w:p w14:paraId="53A2C9F5"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Average annual total return as of 3/31/2024</w:t>
            </w:r>
          </w:p>
        </w:tc>
      </w:tr>
      <w:tr w:rsidR="00CA5932" w:rsidRPr="001C277A" w14:paraId="6B0A1B82" w14:textId="77777777" w:rsidTr="00CA5932">
        <w:tc>
          <w:tcPr>
            <w:tcW w:w="5659" w:type="dxa"/>
            <w:tcBorders>
              <w:top w:val="nil"/>
              <w:bottom w:val="nil"/>
            </w:tcBorders>
          </w:tcPr>
          <w:p w14:paraId="290542A8" w14:textId="77777777" w:rsidR="00CA5932" w:rsidRPr="001C277A" w:rsidRDefault="00CA5932" w:rsidP="00923B68">
            <w:pPr>
              <w:autoSpaceDE w:val="0"/>
              <w:autoSpaceDN w:val="0"/>
              <w:adjustRightInd w:val="0"/>
              <w:spacing w:after="120"/>
              <w:jc w:val="both"/>
              <w:rPr>
                <w:rFonts w:ascii="Arial Narrow" w:hAnsi="Arial Narrow" w:cs="Arial"/>
                <w:color w:val="000000"/>
                <w:sz w:val="18"/>
                <w:szCs w:val="18"/>
              </w:rPr>
            </w:pPr>
          </w:p>
        </w:tc>
        <w:tc>
          <w:tcPr>
            <w:tcW w:w="878" w:type="dxa"/>
            <w:vAlign w:val="center"/>
          </w:tcPr>
          <w:p w14:paraId="49DAFF39"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1-yr.</w:t>
            </w:r>
          </w:p>
        </w:tc>
        <w:tc>
          <w:tcPr>
            <w:tcW w:w="821" w:type="dxa"/>
            <w:vAlign w:val="center"/>
          </w:tcPr>
          <w:p w14:paraId="717DFF87"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5-yr.</w:t>
            </w:r>
          </w:p>
        </w:tc>
        <w:tc>
          <w:tcPr>
            <w:tcW w:w="878" w:type="dxa"/>
            <w:vAlign w:val="center"/>
          </w:tcPr>
          <w:p w14:paraId="09C0C55F"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10-yr.</w:t>
            </w:r>
          </w:p>
        </w:tc>
        <w:tc>
          <w:tcPr>
            <w:tcW w:w="1232" w:type="dxa"/>
            <w:vAlign w:val="center"/>
          </w:tcPr>
          <w:p w14:paraId="43609392" w14:textId="77777777" w:rsidR="00CA5932" w:rsidRPr="001C277A" w:rsidRDefault="00CA5932" w:rsidP="00923B68">
            <w:pPr>
              <w:autoSpaceDE w:val="0"/>
              <w:autoSpaceDN w:val="0"/>
              <w:adjustRightInd w:val="0"/>
              <w:spacing w:after="120"/>
              <w:jc w:val="center"/>
              <w:rPr>
                <w:rFonts w:ascii="Arial Narrow" w:hAnsi="Arial Narrow" w:cs="Arial"/>
                <w:b/>
                <w:color w:val="000000"/>
                <w:sz w:val="18"/>
                <w:szCs w:val="18"/>
              </w:rPr>
            </w:pPr>
            <w:r w:rsidRPr="001C277A">
              <w:rPr>
                <w:rFonts w:ascii="Arial Narrow" w:hAnsi="Arial Narrow" w:cs="Arial"/>
                <w:b/>
                <w:color w:val="000000"/>
                <w:sz w:val="18"/>
                <w:szCs w:val="18"/>
              </w:rPr>
              <w:t>Since Inception</w:t>
            </w:r>
          </w:p>
        </w:tc>
      </w:tr>
      <w:tr w:rsidR="00CA5932" w:rsidRPr="001C277A" w14:paraId="6D4581A9" w14:textId="77777777" w:rsidTr="00CA5932">
        <w:trPr>
          <w:trHeight w:val="320"/>
        </w:trPr>
        <w:tc>
          <w:tcPr>
            <w:tcW w:w="5659" w:type="dxa"/>
            <w:tcBorders>
              <w:top w:val="nil"/>
              <w:bottom w:val="single" w:sz="4" w:space="0" w:color="auto"/>
            </w:tcBorders>
            <w:shd w:val="clear" w:color="auto" w:fill="000000"/>
            <w:vAlign w:val="center"/>
          </w:tcPr>
          <w:p w14:paraId="7DCE3166" w14:textId="5A44CF3C" w:rsidR="00CA5932" w:rsidRPr="001C277A" w:rsidRDefault="00CA5932" w:rsidP="00923B68">
            <w:pPr>
              <w:autoSpaceDE w:val="0"/>
              <w:autoSpaceDN w:val="0"/>
              <w:adjustRightInd w:val="0"/>
              <w:spacing w:after="120"/>
              <w:rPr>
                <w:rFonts w:ascii="Arial Narrow" w:hAnsi="Arial Narrow" w:cs="Arial"/>
                <w:b/>
                <w:color w:val="FFFFFF"/>
                <w:sz w:val="18"/>
                <w:szCs w:val="18"/>
              </w:rPr>
            </w:pPr>
            <w:r w:rsidRPr="001C277A">
              <w:rPr>
                <w:rFonts w:ascii="Arial Narrow" w:hAnsi="Arial Narrow" w:cs="Arial"/>
                <w:b/>
                <w:color w:val="FFFFFF"/>
                <w:sz w:val="18"/>
                <w:szCs w:val="18"/>
              </w:rPr>
              <w:t>Equity Funds (continued)</w:t>
            </w:r>
          </w:p>
        </w:tc>
        <w:tc>
          <w:tcPr>
            <w:tcW w:w="878" w:type="dxa"/>
            <w:tcBorders>
              <w:bottom w:val="single" w:sz="4" w:space="0" w:color="auto"/>
            </w:tcBorders>
            <w:shd w:val="clear" w:color="auto" w:fill="000000"/>
            <w:vAlign w:val="center"/>
          </w:tcPr>
          <w:p w14:paraId="6A4A1AE6" w14:textId="77777777" w:rsidR="00CA5932" w:rsidRPr="001C277A" w:rsidRDefault="00CA5932" w:rsidP="00923B68">
            <w:pPr>
              <w:autoSpaceDE w:val="0"/>
              <w:autoSpaceDN w:val="0"/>
              <w:adjustRightInd w:val="0"/>
              <w:spacing w:after="120"/>
              <w:rPr>
                <w:rFonts w:ascii="Arial Narrow" w:hAnsi="Arial Narrow" w:cs="Arial"/>
                <w:b/>
                <w:color w:val="FFFFFF"/>
                <w:sz w:val="18"/>
                <w:szCs w:val="18"/>
              </w:rPr>
            </w:pPr>
          </w:p>
        </w:tc>
        <w:tc>
          <w:tcPr>
            <w:tcW w:w="821" w:type="dxa"/>
            <w:tcBorders>
              <w:bottom w:val="single" w:sz="4" w:space="0" w:color="auto"/>
            </w:tcBorders>
            <w:shd w:val="clear" w:color="auto" w:fill="000000"/>
            <w:vAlign w:val="center"/>
          </w:tcPr>
          <w:p w14:paraId="37F6EBB5" w14:textId="77777777" w:rsidR="00CA5932" w:rsidRPr="001C277A" w:rsidRDefault="00CA5932" w:rsidP="00923B68">
            <w:pPr>
              <w:autoSpaceDE w:val="0"/>
              <w:autoSpaceDN w:val="0"/>
              <w:adjustRightInd w:val="0"/>
              <w:spacing w:after="120"/>
              <w:rPr>
                <w:rFonts w:ascii="Arial Narrow" w:hAnsi="Arial Narrow" w:cs="Arial"/>
                <w:b/>
                <w:color w:val="FFFFFF"/>
                <w:sz w:val="18"/>
                <w:szCs w:val="18"/>
              </w:rPr>
            </w:pPr>
          </w:p>
        </w:tc>
        <w:tc>
          <w:tcPr>
            <w:tcW w:w="878" w:type="dxa"/>
            <w:tcBorders>
              <w:bottom w:val="single" w:sz="4" w:space="0" w:color="auto"/>
            </w:tcBorders>
            <w:shd w:val="clear" w:color="auto" w:fill="000000"/>
            <w:vAlign w:val="center"/>
          </w:tcPr>
          <w:p w14:paraId="16BD45CA" w14:textId="77777777" w:rsidR="00CA5932" w:rsidRPr="001C277A" w:rsidRDefault="00CA5932" w:rsidP="00923B68">
            <w:pPr>
              <w:autoSpaceDE w:val="0"/>
              <w:autoSpaceDN w:val="0"/>
              <w:adjustRightInd w:val="0"/>
              <w:spacing w:after="120"/>
              <w:rPr>
                <w:rFonts w:ascii="Arial Narrow" w:hAnsi="Arial Narrow" w:cs="Arial"/>
                <w:b/>
                <w:color w:val="FFFFFF"/>
                <w:sz w:val="18"/>
                <w:szCs w:val="18"/>
              </w:rPr>
            </w:pPr>
          </w:p>
        </w:tc>
        <w:tc>
          <w:tcPr>
            <w:tcW w:w="1232" w:type="dxa"/>
            <w:tcBorders>
              <w:bottom w:val="single" w:sz="4" w:space="0" w:color="auto"/>
            </w:tcBorders>
            <w:shd w:val="clear" w:color="auto" w:fill="000000"/>
            <w:vAlign w:val="center"/>
          </w:tcPr>
          <w:p w14:paraId="762B1159" w14:textId="77777777" w:rsidR="00CA5932" w:rsidRPr="001C277A" w:rsidRDefault="00CA5932" w:rsidP="00923B68">
            <w:pPr>
              <w:autoSpaceDE w:val="0"/>
              <w:autoSpaceDN w:val="0"/>
              <w:adjustRightInd w:val="0"/>
              <w:spacing w:after="120"/>
              <w:rPr>
                <w:rFonts w:ascii="Arial Narrow" w:hAnsi="Arial Narrow" w:cs="Arial"/>
                <w:b/>
                <w:color w:val="FFFFFF"/>
                <w:sz w:val="18"/>
                <w:szCs w:val="18"/>
              </w:rPr>
            </w:pPr>
          </w:p>
        </w:tc>
      </w:tr>
      <w:tr w:rsidR="00167F99" w:rsidRPr="001C277A" w14:paraId="2C461E43"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7CF261C5" w14:textId="0E246E0D"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iShares Russell Mid-Cap Index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05/15)</w:t>
            </w:r>
          </w:p>
        </w:tc>
        <w:tc>
          <w:tcPr>
            <w:tcW w:w="878" w:type="dxa"/>
            <w:tcBorders>
              <w:top w:val="single" w:sz="4" w:space="0" w:color="auto"/>
              <w:left w:val="nil"/>
              <w:bottom w:val="nil"/>
              <w:right w:val="nil"/>
            </w:tcBorders>
            <w:shd w:val="clear" w:color="auto" w:fill="D9D9D9" w:themeFill="background1" w:themeFillShade="D9"/>
            <w:vAlign w:val="center"/>
          </w:tcPr>
          <w:p w14:paraId="799DCA69" w14:textId="4022A76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22.32%</w:t>
            </w:r>
          </w:p>
        </w:tc>
        <w:tc>
          <w:tcPr>
            <w:tcW w:w="821" w:type="dxa"/>
            <w:tcBorders>
              <w:top w:val="single" w:sz="4" w:space="0" w:color="auto"/>
              <w:left w:val="nil"/>
              <w:bottom w:val="nil"/>
              <w:right w:val="nil"/>
            </w:tcBorders>
            <w:shd w:val="clear" w:color="auto" w:fill="D9D9D9" w:themeFill="background1" w:themeFillShade="D9"/>
            <w:vAlign w:val="center"/>
          </w:tcPr>
          <w:p w14:paraId="356B041F" w14:textId="0C7C45A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11.10%</w:t>
            </w:r>
          </w:p>
        </w:tc>
        <w:tc>
          <w:tcPr>
            <w:tcW w:w="878" w:type="dxa"/>
            <w:tcBorders>
              <w:top w:val="single" w:sz="4" w:space="0" w:color="auto"/>
              <w:left w:val="nil"/>
              <w:bottom w:val="nil"/>
              <w:right w:val="nil"/>
            </w:tcBorders>
            <w:shd w:val="clear" w:color="auto" w:fill="D9D9D9" w:themeFill="background1" w:themeFillShade="D9"/>
            <w:vAlign w:val="center"/>
          </w:tcPr>
          <w:p w14:paraId="6589FB57" w14:textId="1689C6F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c>
          <w:tcPr>
            <w:tcW w:w="1232" w:type="dxa"/>
            <w:tcBorders>
              <w:top w:val="single" w:sz="4" w:space="0" w:color="auto"/>
              <w:left w:val="nil"/>
              <w:bottom w:val="nil"/>
              <w:right w:val="nil"/>
            </w:tcBorders>
            <w:shd w:val="clear" w:color="auto" w:fill="D9D9D9" w:themeFill="background1" w:themeFillShade="D9"/>
            <w:vAlign w:val="center"/>
          </w:tcPr>
          <w:p w14:paraId="797C2FE3" w14:textId="3EA3497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9.73%</w:t>
            </w:r>
          </w:p>
        </w:tc>
      </w:tr>
      <w:tr w:rsidR="00167F99" w:rsidRPr="001C277A" w14:paraId="219371D6"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62268CFD" w14:textId="3082D2E5"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Morningstar US Mid TR USD</w:t>
            </w:r>
          </w:p>
        </w:tc>
        <w:tc>
          <w:tcPr>
            <w:tcW w:w="878" w:type="dxa"/>
            <w:tcBorders>
              <w:top w:val="nil"/>
              <w:left w:val="nil"/>
              <w:bottom w:val="nil"/>
              <w:right w:val="nil"/>
            </w:tcBorders>
            <w:shd w:val="clear" w:color="auto" w:fill="D9D9D9" w:themeFill="background1" w:themeFillShade="D9"/>
            <w:vAlign w:val="center"/>
          </w:tcPr>
          <w:p w14:paraId="7BFBBD45" w14:textId="25E15ED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22.06%</w:t>
            </w:r>
          </w:p>
        </w:tc>
        <w:tc>
          <w:tcPr>
            <w:tcW w:w="821" w:type="dxa"/>
            <w:tcBorders>
              <w:top w:val="nil"/>
              <w:left w:val="nil"/>
              <w:bottom w:val="nil"/>
              <w:right w:val="nil"/>
            </w:tcBorders>
            <w:shd w:val="clear" w:color="auto" w:fill="D9D9D9" w:themeFill="background1" w:themeFillShade="D9"/>
            <w:vAlign w:val="center"/>
          </w:tcPr>
          <w:p w14:paraId="0398E779" w14:textId="5200ABD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11.77%</w:t>
            </w:r>
          </w:p>
        </w:tc>
        <w:tc>
          <w:tcPr>
            <w:tcW w:w="878" w:type="dxa"/>
            <w:tcBorders>
              <w:top w:val="nil"/>
              <w:left w:val="nil"/>
              <w:bottom w:val="nil"/>
              <w:right w:val="nil"/>
            </w:tcBorders>
            <w:shd w:val="clear" w:color="auto" w:fill="D9D9D9" w:themeFill="background1" w:themeFillShade="D9"/>
            <w:vAlign w:val="center"/>
          </w:tcPr>
          <w:p w14:paraId="1BF4B38C" w14:textId="7ECDE88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10.57%</w:t>
            </w:r>
          </w:p>
        </w:tc>
        <w:tc>
          <w:tcPr>
            <w:tcW w:w="1232" w:type="dxa"/>
            <w:tcBorders>
              <w:top w:val="nil"/>
              <w:left w:val="nil"/>
              <w:bottom w:val="nil"/>
              <w:right w:val="nil"/>
            </w:tcBorders>
            <w:shd w:val="clear" w:color="auto" w:fill="D9D9D9" w:themeFill="background1" w:themeFillShade="D9"/>
            <w:vAlign w:val="center"/>
          </w:tcPr>
          <w:p w14:paraId="1598CA3E" w14:textId="3C5E08B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C47BAA1"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30832D02" w14:textId="26CF78EC"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33627BD2"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6434F5D0"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5EC71430"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165E574C"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1E4CACC0"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1E910AF5" w14:textId="7E8C0781"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 xml:space="preserve">Schwab </w:t>
            </w:r>
            <w:proofErr w:type="spellStart"/>
            <w:r w:rsidRPr="001C277A">
              <w:rPr>
                <w:rFonts w:ascii="Arial Narrow" w:hAnsi="Arial Narrow" w:cs="Arial"/>
                <w:b/>
                <w:sz w:val="18"/>
                <w:szCs w:val="18"/>
              </w:rPr>
              <w:t>Fdmtl</w:t>
            </w:r>
            <w:proofErr w:type="spellEnd"/>
            <w:r w:rsidRPr="001C277A">
              <w:rPr>
                <w:rFonts w:ascii="Arial Narrow" w:hAnsi="Arial Narrow" w:cs="Arial"/>
                <w:b/>
                <w:sz w:val="18"/>
                <w:szCs w:val="18"/>
              </w:rPr>
              <w:t xml:space="preserve"> Intl Lg Co </w:t>
            </w:r>
            <w:proofErr w:type="spellStart"/>
            <w:r w:rsidRPr="001C277A">
              <w:rPr>
                <w:rFonts w:ascii="Arial Narrow" w:hAnsi="Arial Narrow" w:cs="Arial"/>
                <w:b/>
                <w:sz w:val="18"/>
                <w:szCs w:val="18"/>
              </w:rPr>
              <w:t>Idx</w:t>
            </w:r>
            <w:proofErr w:type="spellEnd"/>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04/07)</w:t>
            </w:r>
          </w:p>
        </w:tc>
        <w:tc>
          <w:tcPr>
            <w:tcW w:w="878" w:type="dxa"/>
            <w:tcBorders>
              <w:top w:val="single" w:sz="4" w:space="0" w:color="auto"/>
              <w:left w:val="nil"/>
              <w:bottom w:val="nil"/>
              <w:right w:val="nil"/>
            </w:tcBorders>
            <w:shd w:val="clear" w:color="auto" w:fill="auto"/>
            <w:vAlign w:val="center"/>
          </w:tcPr>
          <w:p w14:paraId="3D5E0C4B" w14:textId="5D08E42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17.48%</w:t>
            </w:r>
          </w:p>
        </w:tc>
        <w:tc>
          <w:tcPr>
            <w:tcW w:w="821" w:type="dxa"/>
            <w:tcBorders>
              <w:top w:val="single" w:sz="4" w:space="0" w:color="auto"/>
              <w:left w:val="nil"/>
              <w:bottom w:val="nil"/>
              <w:right w:val="nil"/>
            </w:tcBorders>
            <w:shd w:val="clear" w:color="auto" w:fill="auto"/>
            <w:vAlign w:val="center"/>
          </w:tcPr>
          <w:p w14:paraId="5C0A6CAD" w14:textId="3926D6E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8.52%</w:t>
            </w:r>
          </w:p>
        </w:tc>
        <w:tc>
          <w:tcPr>
            <w:tcW w:w="878" w:type="dxa"/>
            <w:tcBorders>
              <w:top w:val="single" w:sz="4" w:space="0" w:color="auto"/>
              <w:left w:val="nil"/>
              <w:bottom w:val="nil"/>
              <w:right w:val="nil"/>
            </w:tcBorders>
            <w:shd w:val="clear" w:color="auto" w:fill="auto"/>
            <w:vAlign w:val="center"/>
          </w:tcPr>
          <w:p w14:paraId="16F81FB0" w14:textId="220E86F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5.12%</w:t>
            </w:r>
          </w:p>
        </w:tc>
        <w:tc>
          <w:tcPr>
            <w:tcW w:w="1232" w:type="dxa"/>
            <w:tcBorders>
              <w:top w:val="single" w:sz="4" w:space="0" w:color="auto"/>
              <w:left w:val="nil"/>
              <w:bottom w:val="nil"/>
              <w:right w:val="nil"/>
            </w:tcBorders>
            <w:shd w:val="clear" w:color="auto" w:fill="auto"/>
            <w:vAlign w:val="center"/>
          </w:tcPr>
          <w:p w14:paraId="47E4598F" w14:textId="225BF2D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3.78%</w:t>
            </w:r>
          </w:p>
        </w:tc>
      </w:tr>
      <w:tr w:rsidR="00167F99" w:rsidRPr="001C277A" w14:paraId="73339903" w14:textId="77777777" w:rsidTr="00CA5932">
        <w:trPr>
          <w:trHeight w:hRule="exact" w:val="230"/>
        </w:trPr>
        <w:tc>
          <w:tcPr>
            <w:tcW w:w="5659" w:type="dxa"/>
            <w:tcBorders>
              <w:top w:val="nil"/>
              <w:left w:val="nil"/>
              <w:bottom w:val="nil"/>
              <w:right w:val="nil"/>
            </w:tcBorders>
            <w:shd w:val="clear" w:color="auto" w:fill="auto"/>
            <w:vAlign w:val="center"/>
          </w:tcPr>
          <w:p w14:paraId="3BEE6E97" w14:textId="1D81F5F0"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w:t>
            </w:r>
            <w:proofErr w:type="spellStart"/>
            <w:r w:rsidRPr="001C277A">
              <w:rPr>
                <w:rFonts w:ascii="Arial Narrow" w:hAnsi="Arial Narrow" w:cs="Arial"/>
                <w:sz w:val="18"/>
                <w:szCs w:val="18"/>
              </w:rPr>
              <w:t>Gbl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xUS</w:t>
            </w:r>
            <w:proofErr w:type="spellEnd"/>
            <w:r w:rsidRPr="001C277A">
              <w:rPr>
                <w:rFonts w:ascii="Arial Narrow" w:hAnsi="Arial Narrow" w:cs="Arial"/>
                <w:sz w:val="18"/>
                <w:szCs w:val="18"/>
              </w:rPr>
              <w:t xml:space="preserve"> Val TME NR USD</w:t>
            </w:r>
          </w:p>
        </w:tc>
        <w:tc>
          <w:tcPr>
            <w:tcW w:w="878" w:type="dxa"/>
            <w:tcBorders>
              <w:top w:val="nil"/>
              <w:left w:val="nil"/>
              <w:bottom w:val="nil"/>
              <w:right w:val="nil"/>
            </w:tcBorders>
            <w:shd w:val="clear" w:color="auto" w:fill="auto"/>
            <w:vAlign w:val="center"/>
          </w:tcPr>
          <w:p w14:paraId="451576FD" w14:textId="1DC4B6C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15.88%</w:t>
            </w:r>
          </w:p>
        </w:tc>
        <w:tc>
          <w:tcPr>
            <w:tcW w:w="821" w:type="dxa"/>
            <w:tcBorders>
              <w:top w:val="nil"/>
              <w:left w:val="nil"/>
              <w:bottom w:val="nil"/>
              <w:right w:val="nil"/>
            </w:tcBorders>
            <w:shd w:val="clear" w:color="auto" w:fill="auto"/>
            <w:vAlign w:val="center"/>
          </w:tcPr>
          <w:p w14:paraId="6382A378" w14:textId="1EA3D74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6.18%</w:t>
            </w:r>
          </w:p>
        </w:tc>
        <w:tc>
          <w:tcPr>
            <w:tcW w:w="878" w:type="dxa"/>
            <w:tcBorders>
              <w:top w:val="nil"/>
              <w:left w:val="nil"/>
              <w:bottom w:val="nil"/>
              <w:right w:val="nil"/>
            </w:tcBorders>
            <w:shd w:val="clear" w:color="auto" w:fill="auto"/>
            <w:vAlign w:val="center"/>
          </w:tcPr>
          <w:p w14:paraId="25C63173" w14:textId="0E870F2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3.93%</w:t>
            </w:r>
          </w:p>
        </w:tc>
        <w:tc>
          <w:tcPr>
            <w:tcW w:w="1232" w:type="dxa"/>
            <w:tcBorders>
              <w:top w:val="nil"/>
              <w:left w:val="nil"/>
              <w:bottom w:val="nil"/>
              <w:right w:val="nil"/>
            </w:tcBorders>
            <w:shd w:val="clear" w:color="auto" w:fill="auto"/>
            <w:vAlign w:val="center"/>
          </w:tcPr>
          <w:p w14:paraId="3F63D01C" w14:textId="6E5DC3E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23F9D06A"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3894246A" w14:textId="41BD2802"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2645C975"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5E4E43E6"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7B8FC9CF"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563E02AF"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2FB5CB13"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3B8B2C11" w14:textId="6C3C7749"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State Street Equity 500 Index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09/14)</w:t>
            </w:r>
          </w:p>
        </w:tc>
        <w:tc>
          <w:tcPr>
            <w:tcW w:w="878" w:type="dxa"/>
            <w:tcBorders>
              <w:top w:val="single" w:sz="4" w:space="0" w:color="auto"/>
              <w:left w:val="nil"/>
              <w:bottom w:val="nil"/>
              <w:right w:val="nil"/>
            </w:tcBorders>
            <w:shd w:val="clear" w:color="auto" w:fill="D9D9D9" w:themeFill="background1" w:themeFillShade="D9"/>
            <w:vAlign w:val="center"/>
          </w:tcPr>
          <w:p w14:paraId="65265BF2" w14:textId="66B90E20"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29.87%</w:t>
            </w:r>
          </w:p>
        </w:tc>
        <w:tc>
          <w:tcPr>
            <w:tcW w:w="821" w:type="dxa"/>
            <w:tcBorders>
              <w:top w:val="single" w:sz="4" w:space="0" w:color="auto"/>
              <w:left w:val="nil"/>
              <w:bottom w:val="nil"/>
              <w:right w:val="nil"/>
            </w:tcBorders>
            <w:shd w:val="clear" w:color="auto" w:fill="D9D9D9" w:themeFill="background1" w:themeFillShade="D9"/>
            <w:vAlign w:val="center"/>
          </w:tcPr>
          <w:p w14:paraId="0BA22F9B" w14:textId="645FBCF6"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14.95%</w:t>
            </w:r>
          </w:p>
        </w:tc>
        <w:tc>
          <w:tcPr>
            <w:tcW w:w="878" w:type="dxa"/>
            <w:tcBorders>
              <w:top w:val="single" w:sz="4" w:space="0" w:color="auto"/>
              <w:left w:val="nil"/>
              <w:bottom w:val="nil"/>
              <w:right w:val="nil"/>
            </w:tcBorders>
            <w:shd w:val="clear" w:color="auto" w:fill="D9D9D9" w:themeFill="background1" w:themeFillShade="D9"/>
            <w:vAlign w:val="center"/>
          </w:tcPr>
          <w:p w14:paraId="6808F4DE" w14:textId="47E1135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c>
          <w:tcPr>
            <w:tcW w:w="1232" w:type="dxa"/>
            <w:tcBorders>
              <w:top w:val="single" w:sz="4" w:space="0" w:color="auto"/>
              <w:left w:val="nil"/>
              <w:bottom w:val="nil"/>
              <w:right w:val="nil"/>
            </w:tcBorders>
            <w:shd w:val="clear" w:color="auto" w:fill="D9D9D9" w:themeFill="background1" w:themeFillShade="D9"/>
            <w:vAlign w:val="center"/>
          </w:tcPr>
          <w:p w14:paraId="3AA6E541" w14:textId="20AEDE1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12.63%</w:t>
            </w:r>
          </w:p>
        </w:tc>
      </w:tr>
      <w:tr w:rsidR="00167F99" w:rsidRPr="001C277A" w14:paraId="392AA3E2"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429FC050" w14:textId="33DDF7EF"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Morningstar US LM TR USD</w:t>
            </w:r>
          </w:p>
        </w:tc>
        <w:tc>
          <w:tcPr>
            <w:tcW w:w="878" w:type="dxa"/>
            <w:tcBorders>
              <w:top w:val="nil"/>
              <w:left w:val="nil"/>
              <w:bottom w:val="nil"/>
              <w:right w:val="nil"/>
            </w:tcBorders>
            <w:shd w:val="clear" w:color="auto" w:fill="D9D9D9" w:themeFill="background1" w:themeFillShade="D9"/>
            <w:vAlign w:val="center"/>
          </w:tcPr>
          <w:p w14:paraId="05A1A6DD" w14:textId="657D55B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30.39%</w:t>
            </w:r>
          </w:p>
        </w:tc>
        <w:tc>
          <w:tcPr>
            <w:tcW w:w="821" w:type="dxa"/>
            <w:tcBorders>
              <w:top w:val="nil"/>
              <w:left w:val="nil"/>
              <w:bottom w:val="nil"/>
              <w:right w:val="nil"/>
            </w:tcBorders>
            <w:shd w:val="clear" w:color="auto" w:fill="D9D9D9" w:themeFill="background1" w:themeFillShade="D9"/>
            <w:vAlign w:val="center"/>
          </w:tcPr>
          <w:p w14:paraId="258B320C" w14:textId="144DB7F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14.83%</w:t>
            </w:r>
          </w:p>
        </w:tc>
        <w:tc>
          <w:tcPr>
            <w:tcW w:w="878" w:type="dxa"/>
            <w:tcBorders>
              <w:top w:val="nil"/>
              <w:left w:val="nil"/>
              <w:bottom w:val="nil"/>
              <w:right w:val="nil"/>
            </w:tcBorders>
            <w:shd w:val="clear" w:color="auto" w:fill="D9D9D9" w:themeFill="background1" w:themeFillShade="D9"/>
            <w:vAlign w:val="center"/>
          </w:tcPr>
          <w:p w14:paraId="680BADF4" w14:textId="0497C6A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12.71%</w:t>
            </w:r>
          </w:p>
        </w:tc>
        <w:tc>
          <w:tcPr>
            <w:tcW w:w="1232" w:type="dxa"/>
            <w:tcBorders>
              <w:top w:val="nil"/>
              <w:left w:val="nil"/>
              <w:bottom w:val="nil"/>
              <w:right w:val="nil"/>
            </w:tcBorders>
            <w:shd w:val="clear" w:color="auto" w:fill="D9D9D9" w:themeFill="background1" w:themeFillShade="D9"/>
            <w:vAlign w:val="center"/>
          </w:tcPr>
          <w:p w14:paraId="231D614E" w14:textId="4DAC4CB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8058E71"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52A2C792" w14:textId="3836766B"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49CF0CFF"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27326E20"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54B79325"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2194E442"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7CBF73EC"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4A233D03" w14:textId="57CF27EF"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 xml:space="preserve">State Street Hedged Intl Dev Eq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05/15)</w:t>
            </w:r>
          </w:p>
        </w:tc>
        <w:tc>
          <w:tcPr>
            <w:tcW w:w="878" w:type="dxa"/>
            <w:tcBorders>
              <w:top w:val="single" w:sz="4" w:space="0" w:color="auto"/>
              <w:left w:val="nil"/>
              <w:bottom w:val="nil"/>
              <w:right w:val="nil"/>
            </w:tcBorders>
            <w:shd w:val="clear" w:color="auto" w:fill="auto"/>
            <w:vAlign w:val="center"/>
          </w:tcPr>
          <w:p w14:paraId="44E86BF7" w14:textId="413BD7C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21.70%</w:t>
            </w:r>
          </w:p>
        </w:tc>
        <w:tc>
          <w:tcPr>
            <w:tcW w:w="821" w:type="dxa"/>
            <w:tcBorders>
              <w:top w:val="single" w:sz="4" w:space="0" w:color="auto"/>
              <w:left w:val="nil"/>
              <w:bottom w:val="nil"/>
              <w:right w:val="nil"/>
            </w:tcBorders>
            <w:shd w:val="clear" w:color="auto" w:fill="auto"/>
            <w:vAlign w:val="center"/>
          </w:tcPr>
          <w:p w14:paraId="2382AE56" w14:textId="2FD128C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11.50%</w:t>
            </w:r>
          </w:p>
        </w:tc>
        <w:tc>
          <w:tcPr>
            <w:tcW w:w="878" w:type="dxa"/>
            <w:tcBorders>
              <w:top w:val="single" w:sz="4" w:space="0" w:color="auto"/>
              <w:left w:val="nil"/>
              <w:bottom w:val="nil"/>
              <w:right w:val="nil"/>
            </w:tcBorders>
            <w:shd w:val="clear" w:color="auto" w:fill="auto"/>
            <w:vAlign w:val="center"/>
          </w:tcPr>
          <w:p w14:paraId="6766D748" w14:textId="0617664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c>
          <w:tcPr>
            <w:tcW w:w="1232" w:type="dxa"/>
            <w:tcBorders>
              <w:top w:val="single" w:sz="4" w:space="0" w:color="auto"/>
              <w:left w:val="nil"/>
              <w:bottom w:val="nil"/>
              <w:right w:val="nil"/>
            </w:tcBorders>
            <w:shd w:val="clear" w:color="auto" w:fill="auto"/>
            <w:vAlign w:val="center"/>
          </w:tcPr>
          <w:p w14:paraId="6F5DCE47" w14:textId="4ABBFD9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7.96%</w:t>
            </w:r>
          </w:p>
        </w:tc>
      </w:tr>
      <w:tr w:rsidR="00167F99" w:rsidRPr="001C277A" w14:paraId="22779EA4" w14:textId="77777777" w:rsidTr="00CA5932">
        <w:trPr>
          <w:trHeight w:hRule="exact" w:val="230"/>
        </w:trPr>
        <w:tc>
          <w:tcPr>
            <w:tcW w:w="5659" w:type="dxa"/>
            <w:tcBorders>
              <w:top w:val="nil"/>
              <w:left w:val="nil"/>
              <w:bottom w:val="nil"/>
              <w:right w:val="nil"/>
            </w:tcBorders>
            <w:shd w:val="clear" w:color="auto" w:fill="auto"/>
            <w:vAlign w:val="center"/>
          </w:tcPr>
          <w:p w14:paraId="44C43242" w14:textId="620DBDD6"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w:t>
            </w:r>
            <w:proofErr w:type="spellStart"/>
            <w:r w:rsidRPr="001C277A">
              <w:rPr>
                <w:rFonts w:ascii="Arial Narrow" w:hAnsi="Arial Narrow" w:cs="Arial"/>
                <w:sz w:val="18"/>
                <w:szCs w:val="18"/>
              </w:rPr>
              <w:t>Gbl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xUS</w:t>
            </w:r>
            <w:proofErr w:type="spellEnd"/>
            <w:r w:rsidRPr="001C277A">
              <w:rPr>
                <w:rFonts w:ascii="Arial Narrow" w:hAnsi="Arial Narrow" w:cs="Arial"/>
                <w:sz w:val="18"/>
                <w:szCs w:val="18"/>
              </w:rPr>
              <w:t xml:space="preserve"> TME NR USD</w:t>
            </w:r>
          </w:p>
        </w:tc>
        <w:tc>
          <w:tcPr>
            <w:tcW w:w="878" w:type="dxa"/>
            <w:tcBorders>
              <w:top w:val="nil"/>
              <w:left w:val="nil"/>
              <w:bottom w:val="nil"/>
              <w:right w:val="nil"/>
            </w:tcBorders>
            <w:shd w:val="clear" w:color="auto" w:fill="auto"/>
            <w:vAlign w:val="center"/>
          </w:tcPr>
          <w:p w14:paraId="35C8D5D5" w14:textId="4438A6C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13.74%</w:t>
            </w:r>
          </w:p>
        </w:tc>
        <w:tc>
          <w:tcPr>
            <w:tcW w:w="821" w:type="dxa"/>
            <w:tcBorders>
              <w:top w:val="nil"/>
              <w:left w:val="nil"/>
              <w:bottom w:val="nil"/>
              <w:right w:val="nil"/>
            </w:tcBorders>
            <w:shd w:val="clear" w:color="auto" w:fill="auto"/>
            <w:vAlign w:val="center"/>
          </w:tcPr>
          <w:p w14:paraId="74C02DA2" w14:textId="4C636A60"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6.27%</w:t>
            </w:r>
          </w:p>
        </w:tc>
        <w:tc>
          <w:tcPr>
            <w:tcW w:w="878" w:type="dxa"/>
            <w:tcBorders>
              <w:top w:val="nil"/>
              <w:left w:val="nil"/>
              <w:bottom w:val="nil"/>
              <w:right w:val="nil"/>
            </w:tcBorders>
            <w:shd w:val="clear" w:color="auto" w:fill="auto"/>
            <w:vAlign w:val="center"/>
          </w:tcPr>
          <w:p w14:paraId="0BA39737" w14:textId="1CF4BA4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4.45%</w:t>
            </w:r>
          </w:p>
        </w:tc>
        <w:tc>
          <w:tcPr>
            <w:tcW w:w="1232" w:type="dxa"/>
            <w:tcBorders>
              <w:top w:val="nil"/>
              <w:left w:val="nil"/>
              <w:bottom w:val="nil"/>
              <w:right w:val="nil"/>
            </w:tcBorders>
            <w:shd w:val="clear" w:color="auto" w:fill="auto"/>
            <w:vAlign w:val="center"/>
          </w:tcPr>
          <w:p w14:paraId="1DECDA18" w14:textId="739BABC8"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AC26546"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2C031FB2" w14:textId="4EB3F89C"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0EE3AD55"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4F7D5C29"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17457946"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5F4A26E1"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6BFB8137"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6E0806B3" w14:textId="2A990A1A"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 xml:space="preserve">TIAA-CREF Large-Cap Gr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w:t>
            </w:r>
            <w:proofErr w:type="spellStart"/>
            <w:r w:rsidRPr="001C277A">
              <w:rPr>
                <w:rFonts w:ascii="Arial Narrow" w:hAnsi="Arial Narrow" w:cs="Arial"/>
                <w:b/>
                <w:sz w:val="18"/>
                <w:szCs w:val="18"/>
              </w:rPr>
              <w:t>Instl</w:t>
            </w:r>
            <w:proofErr w:type="spellEnd"/>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10/02)</w:t>
            </w:r>
          </w:p>
        </w:tc>
        <w:tc>
          <w:tcPr>
            <w:tcW w:w="878" w:type="dxa"/>
            <w:tcBorders>
              <w:top w:val="single" w:sz="4" w:space="0" w:color="auto"/>
              <w:left w:val="nil"/>
              <w:bottom w:val="nil"/>
              <w:right w:val="nil"/>
            </w:tcBorders>
            <w:shd w:val="clear" w:color="auto" w:fill="D9D9D9" w:themeFill="background1" w:themeFillShade="D9"/>
            <w:vAlign w:val="center"/>
          </w:tcPr>
          <w:p w14:paraId="44F5F923" w14:textId="4C25494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38.95%</w:t>
            </w:r>
          </w:p>
        </w:tc>
        <w:tc>
          <w:tcPr>
            <w:tcW w:w="821" w:type="dxa"/>
            <w:tcBorders>
              <w:top w:val="single" w:sz="4" w:space="0" w:color="auto"/>
              <w:left w:val="nil"/>
              <w:bottom w:val="nil"/>
              <w:right w:val="nil"/>
            </w:tcBorders>
            <w:shd w:val="clear" w:color="auto" w:fill="D9D9D9" w:themeFill="background1" w:themeFillShade="D9"/>
            <w:vAlign w:val="center"/>
          </w:tcPr>
          <w:p w14:paraId="2B639426" w14:textId="4D7A289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18.45%</w:t>
            </w:r>
          </w:p>
        </w:tc>
        <w:tc>
          <w:tcPr>
            <w:tcW w:w="878" w:type="dxa"/>
            <w:tcBorders>
              <w:top w:val="single" w:sz="4" w:space="0" w:color="auto"/>
              <w:left w:val="nil"/>
              <w:bottom w:val="nil"/>
              <w:right w:val="nil"/>
            </w:tcBorders>
            <w:shd w:val="clear" w:color="auto" w:fill="D9D9D9" w:themeFill="background1" w:themeFillShade="D9"/>
            <w:vAlign w:val="center"/>
          </w:tcPr>
          <w:p w14:paraId="263746E1" w14:textId="6273772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15.91%</w:t>
            </w:r>
          </w:p>
        </w:tc>
        <w:tc>
          <w:tcPr>
            <w:tcW w:w="1232" w:type="dxa"/>
            <w:tcBorders>
              <w:top w:val="single" w:sz="4" w:space="0" w:color="auto"/>
              <w:left w:val="nil"/>
              <w:bottom w:val="nil"/>
              <w:right w:val="nil"/>
            </w:tcBorders>
            <w:shd w:val="clear" w:color="auto" w:fill="D9D9D9" w:themeFill="background1" w:themeFillShade="D9"/>
            <w:vAlign w:val="center"/>
          </w:tcPr>
          <w:p w14:paraId="31A6EDBF" w14:textId="02AFE92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12.44%</w:t>
            </w:r>
          </w:p>
        </w:tc>
      </w:tr>
      <w:tr w:rsidR="00167F99" w:rsidRPr="001C277A" w14:paraId="59033912"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15C9C371" w14:textId="6BB150D0"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LM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Growth TR USD</w:t>
            </w:r>
          </w:p>
        </w:tc>
        <w:tc>
          <w:tcPr>
            <w:tcW w:w="878" w:type="dxa"/>
            <w:tcBorders>
              <w:top w:val="nil"/>
              <w:left w:val="nil"/>
              <w:bottom w:val="nil"/>
              <w:right w:val="nil"/>
            </w:tcBorders>
            <w:shd w:val="clear" w:color="auto" w:fill="D9D9D9" w:themeFill="background1" w:themeFillShade="D9"/>
            <w:vAlign w:val="center"/>
          </w:tcPr>
          <w:p w14:paraId="785B8117" w14:textId="0C761D46"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37.41%</w:t>
            </w:r>
          </w:p>
        </w:tc>
        <w:tc>
          <w:tcPr>
            <w:tcW w:w="821" w:type="dxa"/>
            <w:tcBorders>
              <w:top w:val="nil"/>
              <w:left w:val="nil"/>
              <w:bottom w:val="nil"/>
              <w:right w:val="nil"/>
            </w:tcBorders>
            <w:shd w:val="clear" w:color="auto" w:fill="D9D9D9" w:themeFill="background1" w:themeFillShade="D9"/>
            <w:vAlign w:val="center"/>
          </w:tcPr>
          <w:p w14:paraId="697454A7" w14:textId="2A4DB48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16.58%</w:t>
            </w:r>
          </w:p>
        </w:tc>
        <w:tc>
          <w:tcPr>
            <w:tcW w:w="878" w:type="dxa"/>
            <w:tcBorders>
              <w:top w:val="nil"/>
              <w:left w:val="nil"/>
              <w:bottom w:val="nil"/>
              <w:right w:val="nil"/>
            </w:tcBorders>
            <w:shd w:val="clear" w:color="auto" w:fill="D9D9D9" w:themeFill="background1" w:themeFillShade="D9"/>
            <w:vAlign w:val="center"/>
          </w:tcPr>
          <w:p w14:paraId="2EE069E7" w14:textId="0212D44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14.55%</w:t>
            </w:r>
          </w:p>
        </w:tc>
        <w:tc>
          <w:tcPr>
            <w:tcW w:w="1232" w:type="dxa"/>
            <w:tcBorders>
              <w:top w:val="nil"/>
              <w:left w:val="nil"/>
              <w:bottom w:val="nil"/>
              <w:right w:val="nil"/>
            </w:tcBorders>
            <w:shd w:val="clear" w:color="auto" w:fill="D9D9D9" w:themeFill="background1" w:themeFillShade="D9"/>
            <w:vAlign w:val="center"/>
          </w:tcPr>
          <w:p w14:paraId="724B9796" w14:textId="276603E7"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308798A"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7032142A" w14:textId="572B9BB1"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4C3C9501"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4B2D2A0B"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1EB2CA4E"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4C07D1CD"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5DDF04AA"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7D382BC2" w14:textId="4FC2E33F"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 xml:space="preserve">TIAA-CREF Small-Cap Blend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Inst</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10/02)</w:t>
            </w:r>
          </w:p>
        </w:tc>
        <w:tc>
          <w:tcPr>
            <w:tcW w:w="878" w:type="dxa"/>
            <w:tcBorders>
              <w:top w:val="single" w:sz="4" w:space="0" w:color="auto"/>
              <w:left w:val="nil"/>
              <w:bottom w:val="nil"/>
              <w:right w:val="nil"/>
            </w:tcBorders>
            <w:shd w:val="clear" w:color="auto" w:fill="auto"/>
            <w:vAlign w:val="center"/>
          </w:tcPr>
          <w:p w14:paraId="6EF3A131" w14:textId="0294BA8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19.73%</w:t>
            </w:r>
          </w:p>
        </w:tc>
        <w:tc>
          <w:tcPr>
            <w:tcW w:w="821" w:type="dxa"/>
            <w:tcBorders>
              <w:top w:val="single" w:sz="4" w:space="0" w:color="auto"/>
              <w:left w:val="nil"/>
              <w:bottom w:val="nil"/>
              <w:right w:val="nil"/>
            </w:tcBorders>
            <w:shd w:val="clear" w:color="auto" w:fill="auto"/>
            <w:vAlign w:val="center"/>
          </w:tcPr>
          <w:p w14:paraId="137BCE6A" w14:textId="1EC4DAA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8.22%</w:t>
            </w:r>
          </w:p>
        </w:tc>
        <w:tc>
          <w:tcPr>
            <w:tcW w:w="878" w:type="dxa"/>
            <w:tcBorders>
              <w:top w:val="single" w:sz="4" w:space="0" w:color="auto"/>
              <w:left w:val="nil"/>
              <w:bottom w:val="nil"/>
              <w:right w:val="nil"/>
            </w:tcBorders>
            <w:shd w:val="clear" w:color="auto" w:fill="auto"/>
            <w:vAlign w:val="center"/>
          </w:tcPr>
          <w:p w14:paraId="0FAA647E" w14:textId="0105446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7.74%</w:t>
            </w:r>
          </w:p>
        </w:tc>
        <w:tc>
          <w:tcPr>
            <w:tcW w:w="1232" w:type="dxa"/>
            <w:tcBorders>
              <w:top w:val="single" w:sz="4" w:space="0" w:color="auto"/>
              <w:left w:val="nil"/>
              <w:bottom w:val="nil"/>
              <w:right w:val="nil"/>
            </w:tcBorders>
            <w:shd w:val="clear" w:color="auto" w:fill="auto"/>
            <w:vAlign w:val="center"/>
          </w:tcPr>
          <w:p w14:paraId="16DE0127" w14:textId="421E57C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10.03%</w:t>
            </w:r>
          </w:p>
        </w:tc>
      </w:tr>
      <w:tr w:rsidR="00167F99" w:rsidRPr="001C277A" w14:paraId="35B38CF7" w14:textId="77777777" w:rsidTr="00CA5932">
        <w:trPr>
          <w:trHeight w:hRule="exact" w:val="230"/>
        </w:trPr>
        <w:tc>
          <w:tcPr>
            <w:tcW w:w="5659" w:type="dxa"/>
            <w:tcBorders>
              <w:top w:val="nil"/>
              <w:left w:val="nil"/>
              <w:bottom w:val="nil"/>
              <w:right w:val="nil"/>
            </w:tcBorders>
            <w:shd w:val="clear" w:color="auto" w:fill="auto"/>
            <w:vAlign w:val="center"/>
          </w:tcPr>
          <w:p w14:paraId="58251F7E" w14:textId="4433BDFE"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w:t>
            </w:r>
            <w:proofErr w:type="spellStart"/>
            <w:r w:rsidRPr="001C277A">
              <w:rPr>
                <w:rFonts w:ascii="Arial Narrow" w:hAnsi="Arial Narrow" w:cs="Arial"/>
                <w:sz w:val="18"/>
                <w:szCs w:val="18"/>
              </w:rPr>
              <w:t>Sml</w:t>
            </w:r>
            <w:proofErr w:type="spellEnd"/>
            <w:r w:rsidRPr="001C277A">
              <w:rPr>
                <w:rFonts w:ascii="Arial Narrow" w:hAnsi="Arial Narrow" w:cs="Arial"/>
                <w:sz w:val="18"/>
                <w:szCs w:val="18"/>
              </w:rPr>
              <w:t xml:space="preserve"> Ext TR USD</w:t>
            </w:r>
          </w:p>
        </w:tc>
        <w:tc>
          <w:tcPr>
            <w:tcW w:w="878" w:type="dxa"/>
            <w:tcBorders>
              <w:top w:val="nil"/>
              <w:left w:val="nil"/>
              <w:bottom w:val="nil"/>
              <w:right w:val="nil"/>
            </w:tcBorders>
            <w:shd w:val="clear" w:color="auto" w:fill="auto"/>
            <w:vAlign w:val="center"/>
          </w:tcPr>
          <w:p w14:paraId="233603B6" w14:textId="100C801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20.28%</w:t>
            </w:r>
          </w:p>
        </w:tc>
        <w:tc>
          <w:tcPr>
            <w:tcW w:w="821" w:type="dxa"/>
            <w:tcBorders>
              <w:top w:val="nil"/>
              <w:left w:val="nil"/>
              <w:bottom w:val="nil"/>
              <w:right w:val="nil"/>
            </w:tcBorders>
            <w:shd w:val="clear" w:color="auto" w:fill="auto"/>
            <w:vAlign w:val="center"/>
          </w:tcPr>
          <w:p w14:paraId="6A3915E9" w14:textId="4A9A720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8.55%</w:t>
            </w:r>
          </w:p>
        </w:tc>
        <w:tc>
          <w:tcPr>
            <w:tcW w:w="878" w:type="dxa"/>
            <w:tcBorders>
              <w:top w:val="nil"/>
              <w:left w:val="nil"/>
              <w:bottom w:val="nil"/>
              <w:right w:val="nil"/>
            </w:tcBorders>
            <w:shd w:val="clear" w:color="auto" w:fill="auto"/>
            <w:vAlign w:val="center"/>
          </w:tcPr>
          <w:p w14:paraId="2B0A7FB6" w14:textId="2216676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7.70%</w:t>
            </w:r>
          </w:p>
        </w:tc>
        <w:tc>
          <w:tcPr>
            <w:tcW w:w="1232" w:type="dxa"/>
            <w:tcBorders>
              <w:top w:val="nil"/>
              <w:left w:val="nil"/>
              <w:bottom w:val="nil"/>
              <w:right w:val="nil"/>
            </w:tcBorders>
            <w:shd w:val="clear" w:color="auto" w:fill="auto"/>
            <w:vAlign w:val="center"/>
          </w:tcPr>
          <w:p w14:paraId="4CD22A74" w14:textId="508A2FA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22EC3D5B"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72CBEAF8" w14:textId="5BFA9603"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14022960"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31FA1653"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62374ECF"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7ED7412C"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51162868"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5966FAF6" w14:textId="5A18FE10"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 xml:space="preserve">Vanguard Emerging Mkts Stock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Adm</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06/06)</w:t>
            </w:r>
          </w:p>
        </w:tc>
        <w:tc>
          <w:tcPr>
            <w:tcW w:w="878" w:type="dxa"/>
            <w:tcBorders>
              <w:top w:val="single" w:sz="4" w:space="0" w:color="auto"/>
              <w:left w:val="nil"/>
              <w:bottom w:val="nil"/>
              <w:right w:val="nil"/>
            </w:tcBorders>
            <w:shd w:val="clear" w:color="auto" w:fill="D9D9D9" w:themeFill="background1" w:themeFillShade="D9"/>
            <w:vAlign w:val="center"/>
          </w:tcPr>
          <w:p w14:paraId="5EB68F93" w14:textId="0BD7955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7.40%</w:t>
            </w:r>
          </w:p>
        </w:tc>
        <w:tc>
          <w:tcPr>
            <w:tcW w:w="821" w:type="dxa"/>
            <w:tcBorders>
              <w:top w:val="single" w:sz="4" w:space="0" w:color="auto"/>
              <w:left w:val="nil"/>
              <w:bottom w:val="nil"/>
              <w:right w:val="nil"/>
            </w:tcBorders>
            <w:shd w:val="clear" w:color="auto" w:fill="D9D9D9" w:themeFill="background1" w:themeFillShade="D9"/>
            <w:vAlign w:val="center"/>
          </w:tcPr>
          <w:p w14:paraId="1CAEDCEF" w14:textId="6887EE4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2.82%</w:t>
            </w:r>
          </w:p>
        </w:tc>
        <w:tc>
          <w:tcPr>
            <w:tcW w:w="878" w:type="dxa"/>
            <w:tcBorders>
              <w:top w:val="single" w:sz="4" w:space="0" w:color="auto"/>
              <w:left w:val="nil"/>
              <w:bottom w:val="nil"/>
              <w:right w:val="nil"/>
            </w:tcBorders>
            <w:shd w:val="clear" w:color="auto" w:fill="D9D9D9" w:themeFill="background1" w:themeFillShade="D9"/>
            <w:vAlign w:val="center"/>
          </w:tcPr>
          <w:p w14:paraId="7B5E9131" w14:textId="41CE3B25"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3.21%</w:t>
            </w:r>
          </w:p>
        </w:tc>
        <w:tc>
          <w:tcPr>
            <w:tcW w:w="1232" w:type="dxa"/>
            <w:tcBorders>
              <w:top w:val="single" w:sz="4" w:space="0" w:color="auto"/>
              <w:left w:val="nil"/>
              <w:bottom w:val="nil"/>
              <w:right w:val="nil"/>
            </w:tcBorders>
            <w:shd w:val="clear" w:color="auto" w:fill="D9D9D9" w:themeFill="background1" w:themeFillShade="D9"/>
            <w:vAlign w:val="center"/>
          </w:tcPr>
          <w:p w14:paraId="75F4F2DE" w14:textId="1FBFCA3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4.66%</w:t>
            </w:r>
          </w:p>
        </w:tc>
      </w:tr>
      <w:tr w:rsidR="00167F99" w:rsidRPr="001C277A" w14:paraId="14FB633F"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3B24623B" w14:textId="0B1B2987"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Morningstar EM TME NR USD</w:t>
            </w:r>
          </w:p>
        </w:tc>
        <w:tc>
          <w:tcPr>
            <w:tcW w:w="878" w:type="dxa"/>
            <w:tcBorders>
              <w:top w:val="nil"/>
              <w:left w:val="nil"/>
              <w:bottom w:val="nil"/>
              <w:right w:val="nil"/>
            </w:tcBorders>
            <w:shd w:val="clear" w:color="auto" w:fill="D9D9D9" w:themeFill="background1" w:themeFillShade="D9"/>
            <w:vAlign w:val="center"/>
          </w:tcPr>
          <w:p w14:paraId="7DD955E9" w14:textId="2C14D80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9.00%</w:t>
            </w:r>
          </w:p>
        </w:tc>
        <w:tc>
          <w:tcPr>
            <w:tcW w:w="821" w:type="dxa"/>
            <w:tcBorders>
              <w:top w:val="nil"/>
              <w:left w:val="nil"/>
              <w:bottom w:val="nil"/>
              <w:right w:val="nil"/>
            </w:tcBorders>
            <w:shd w:val="clear" w:color="auto" w:fill="D9D9D9" w:themeFill="background1" w:themeFillShade="D9"/>
            <w:vAlign w:val="center"/>
          </w:tcPr>
          <w:p w14:paraId="15C1BBBD" w14:textId="36AFDF3B"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2.98%</w:t>
            </w:r>
          </w:p>
        </w:tc>
        <w:tc>
          <w:tcPr>
            <w:tcW w:w="878" w:type="dxa"/>
            <w:tcBorders>
              <w:top w:val="nil"/>
              <w:left w:val="nil"/>
              <w:bottom w:val="nil"/>
              <w:right w:val="nil"/>
            </w:tcBorders>
            <w:shd w:val="clear" w:color="auto" w:fill="D9D9D9" w:themeFill="background1" w:themeFillShade="D9"/>
            <w:vAlign w:val="center"/>
          </w:tcPr>
          <w:p w14:paraId="444C114F" w14:textId="1413A2B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3.66%</w:t>
            </w:r>
          </w:p>
        </w:tc>
        <w:tc>
          <w:tcPr>
            <w:tcW w:w="1232" w:type="dxa"/>
            <w:tcBorders>
              <w:top w:val="nil"/>
              <w:left w:val="nil"/>
              <w:bottom w:val="nil"/>
              <w:right w:val="nil"/>
            </w:tcBorders>
            <w:shd w:val="clear" w:color="auto" w:fill="D9D9D9" w:themeFill="background1" w:themeFillShade="D9"/>
            <w:vAlign w:val="center"/>
          </w:tcPr>
          <w:p w14:paraId="3540E0C3" w14:textId="5057115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0AB13FC8"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3F21EB08" w14:textId="4CE892BA"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134277F6"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7800DAFA"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53DD9504"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76AA9F61"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556980A9"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2B62A9FB" w14:textId="4B79B806"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Vanguard Mid-Cap Growth Index Admiral</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09/11)</w:t>
            </w:r>
          </w:p>
        </w:tc>
        <w:tc>
          <w:tcPr>
            <w:tcW w:w="878" w:type="dxa"/>
            <w:tcBorders>
              <w:top w:val="single" w:sz="4" w:space="0" w:color="auto"/>
              <w:left w:val="nil"/>
              <w:bottom w:val="nil"/>
              <w:right w:val="nil"/>
            </w:tcBorders>
            <w:shd w:val="clear" w:color="auto" w:fill="auto"/>
            <w:vAlign w:val="center"/>
          </w:tcPr>
          <w:p w14:paraId="031FD582" w14:textId="179595D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21.80%</w:t>
            </w:r>
          </w:p>
        </w:tc>
        <w:tc>
          <w:tcPr>
            <w:tcW w:w="821" w:type="dxa"/>
            <w:tcBorders>
              <w:top w:val="single" w:sz="4" w:space="0" w:color="auto"/>
              <w:left w:val="nil"/>
              <w:bottom w:val="nil"/>
              <w:right w:val="nil"/>
            </w:tcBorders>
            <w:shd w:val="clear" w:color="auto" w:fill="auto"/>
            <w:vAlign w:val="center"/>
          </w:tcPr>
          <w:p w14:paraId="774E8F1A" w14:textId="60A26D3D"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11.32%</w:t>
            </w:r>
          </w:p>
        </w:tc>
        <w:tc>
          <w:tcPr>
            <w:tcW w:w="878" w:type="dxa"/>
            <w:tcBorders>
              <w:top w:val="single" w:sz="4" w:space="0" w:color="auto"/>
              <w:left w:val="nil"/>
              <w:bottom w:val="nil"/>
              <w:right w:val="nil"/>
            </w:tcBorders>
            <w:shd w:val="clear" w:color="auto" w:fill="auto"/>
            <w:vAlign w:val="center"/>
          </w:tcPr>
          <w:p w14:paraId="1BD4BF1A" w14:textId="52459AF8"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10.63%</w:t>
            </w:r>
          </w:p>
        </w:tc>
        <w:tc>
          <w:tcPr>
            <w:tcW w:w="1232" w:type="dxa"/>
            <w:tcBorders>
              <w:top w:val="single" w:sz="4" w:space="0" w:color="auto"/>
              <w:left w:val="nil"/>
              <w:bottom w:val="nil"/>
              <w:right w:val="nil"/>
            </w:tcBorders>
            <w:shd w:val="clear" w:color="auto" w:fill="auto"/>
            <w:vAlign w:val="center"/>
          </w:tcPr>
          <w:p w14:paraId="4BB40D27" w14:textId="535705D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12.69%</w:t>
            </w:r>
          </w:p>
        </w:tc>
      </w:tr>
      <w:tr w:rsidR="00167F99" w:rsidRPr="001C277A" w14:paraId="1FDEED33" w14:textId="77777777" w:rsidTr="00CA5932">
        <w:trPr>
          <w:trHeight w:hRule="exact" w:val="230"/>
        </w:trPr>
        <w:tc>
          <w:tcPr>
            <w:tcW w:w="5659" w:type="dxa"/>
            <w:tcBorders>
              <w:top w:val="nil"/>
              <w:left w:val="nil"/>
              <w:bottom w:val="nil"/>
              <w:right w:val="nil"/>
            </w:tcBorders>
            <w:shd w:val="clear" w:color="auto" w:fill="auto"/>
            <w:vAlign w:val="center"/>
          </w:tcPr>
          <w:p w14:paraId="1D7D5D55" w14:textId="463E6E9B"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Mid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Grt</w:t>
            </w:r>
            <w:proofErr w:type="spellEnd"/>
            <w:r w:rsidRPr="001C277A">
              <w:rPr>
                <w:rFonts w:ascii="Arial Narrow" w:hAnsi="Arial Narrow" w:cs="Arial"/>
                <w:sz w:val="18"/>
                <w:szCs w:val="18"/>
              </w:rPr>
              <w:t xml:space="preserve"> TR USD</w:t>
            </w:r>
          </w:p>
        </w:tc>
        <w:tc>
          <w:tcPr>
            <w:tcW w:w="878" w:type="dxa"/>
            <w:tcBorders>
              <w:top w:val="nil"/>
              <w:left w:val="nil"/>
              <w:bottom w:val="nil"/>
              <w:right w:val="nil"/>
            </w:tcBorders>
            <w:shd w:val="clear" w:color="auto" w:fill="auto"/>
            <w:vAlign w:val="center"/>
          </w:tcPr>
          <w:p w14:paraId="6D724EB5" w14:textId="6426092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23.96%</w:t>
            </w:r>
          </w:p>
        </w:tc>
        <w:tc>
          <w:tcPr>
            <w:tcW w:w="821" w:type="dxa"/>
            <w:tcBorders>
              <w:top w:val="nil"/>
              <w:left w:val="nil"/>
              <w:bottom w:val="nil"/>
              <w:right w:val="nil"/>
            </w:tcBorders>
            <w:shd w:val="clear" w:color="auto" w:fill="auto"/>
            <w:vAlign w:val="center"/>
          </w:tcPr>
          <w:p w14:paraId="554264DF" w14:textId="223AC72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12.17%</w:t>
            </w:r>
          </w:p>
        </w:tc>
        <w:tc>
          <w:tcPr>
            <w:tcW w:w="878" w:type="dxa"/>
            <w:tcBorders>
              <w:top w:val="nil"/>
              <w:left w:val="nil"/>
              <w:bottom w:val="nil"/>
              <w:right w:val="nil"/>
            </w:tcBorders>
            <w:shd w:val="clear" w:color="auto" w:fill="auto"/>
            <w:vAlign w:val="center"/>
          </w:tcPr>
          <w:p w14:paraId="6F24A73C" w14:textId="43F73222"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11.24%</w:t>
            </w:r>
          </w:p>
        </w:tc>
        <w:tc>
          <w:tcPr>
            <w:tcW w:w="1232" w:type="dxa"/>
            <w:tcBorders>
              <w:top w:val="nil"/>
              <w:left w:val="nil"/>
              <w:bottom w:val="nil"/>
              <w:right w:val="nil"/>
            </w:tcBorders>
            <w:shd w:val="clear" w:color="auto" w:fill="auto"/>
            <w:vAlign w:val="center"/>
          </w:tcPr>
          <w:p w14:paraId="6C309C09" w14:textId="7D4B0BB4"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1CAC07F5"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67F225C9" w14:textId="0EB9F901"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auto"/>
            <w:vAlign w:val="center"/>
          </w:tcPr>
          <w:p w14:paraId="4FA0873B"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auto"/>
            <w:vAlign w:val="center"/>
          </w:tcPr>
          <w:p w14:paraId="5C70BBE6"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auto"/>
            <w:vAlign w:val="center"/>
          </w:tcPr>
          <w:p w14:paraId="6BE53BBF"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auto"/>
            <w:vAlign w:val="center"/>
          </w:tcPr>
          <w:p w14:paraId="5431FC61"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5E1FF155"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476CA268" w14:textId="0A7A20CD"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Vanguard Mid-Cap Value Index Admiral</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09/11)</w:t>
            </w:r>
          </w:p>
        </w:tc>
        <w:tc>
          <w:tcPr>
            <w:tcW w:w="878" w:type="dxa"/>
            <w:tcBorders>
              <w:top w:val="single" w:sz="4" w:space="0" w:color="auto"/>
              <w:left w:val="nil"/>
              <w:bottom w:val="nil"/>
              <w:right w:val="nil"/>
            </w:tcBorders>
            <w:shd w:val="clear" w:color="auto" w:fill="D9D9D9" w:themeFill="background1" w:themeFillShade="D9"/>
            <w:vAlign w:val="center"/>
          </w:tcPr>
          <w:p w14:paraId="2D9F5529" w14:textId="0A490090"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19.10%</w:t>
            </w:r>
          </w:p>
        </w:tc>
        <w:tc>
          <w:tcPr>
            <w:tcW w:w="821" w:type="dxa"/>
            <w:tcBorders>
              <w:top w:val="single" w:sz="4" w:space="0" w:color="auto"/>
              <w:left w:val="nil"/>
              <w:bottom w:val="nil"/>
              <w:right w:val="nil"/>
            </w:tcBorders>
            <w:shd w:val="clear" w:color="auto" w:fill="D9D9D9" w:themeFill="background1" w:themeFillShade="D9"/>
            <w:vAlign w:val="center"/>
          </w:tcPr>
          <w:p w14:paraId="5492D684" w14:textId="2DA74E9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10.17%</w:t>
            </w:r>
          </w:p>
        </w:tc>
        <w:tc>
          <w:tcPr>
            <w:tcW w:w="878" w:type="dxa"/>
            <w:tcBorders>
              <w:top w:val="single" w:sz="4" w:space="0" w:color="auto"/>
              <w:left w:val="nil"/>
              <w:bottom w:val="nil"/>
              <w:right w:val="nil"/>
            </w:tcBorders>
            <w:shd w:val="clear" w:color="auto" w:fill="D9D9D9" w:themeFill="background1" w:themeFillShade="D9"/>
            <w:vAlign w:val="center"/>
          </w:tcPr>
          <w:p w14:paraId="203C70E1" w14:textId="067F764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8.93%</w:t>
            </w:r>
          </w:p>
        </w:tc>
        <w:tc>
          <w:tcPr>
            <w:tcW w:w="1232" w:type="dxa"/>
            <w:tcBorders>
              <w:top w:val="single" w:sz="4" w:space="0" w:color="auto"/>
              <w:left w:val="nil"/>
              <w:bottom w:val="nil"/>
              <w:right w:val="nil"/>
            </w:tcBorders>
            <w:shd w:val="clear" w:color="auto" w:fill="D9D9D9" w:themeFill="background1" w:themeFillShade="D9"/>
            <w:vAlign w:val="center"/>
          </w:tcPr>
          <w:p w14:paraId="49C322EE" w14:textId="62E9B086"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12.29%</w:t>
            </w:r>
          </w:p>
        </w:tc>
      </w:tr>
      <w:tr w:rsidR="00167F99" w:rsidRPr="001C277A" w14:paraId="4A881C61"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5D110A10" w14:textId="62B5967E"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Mid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Val TR USD</w:t>
            </w:r>
          </w:p>
        </w:tc>
        <w:tc>
          <w:tcPr>
            <w:tcW w:w="878" w:type="dxa"/>
            <w:tcBorders>
              <w:top w:val="nil"/>
              <w:left w:val="nil"/>
              <w:bottom w:val="nil"/>
              <w:right w:val="nil"/>
            </w:tcBorders>
            <w:shd w:val="clear" w:color="auto" w:fill="D9D9D9" w:themeFill="background1" w:themeFillShade="D9"/>
            <w:vAlign w:val="center"/>
          </w:tcPr>
          <w:p w14:paraId="71BC0191" w14:textId="6B5B5722"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19.99%</w:t>
            </w:r>
          </w:p>
        </w:tc>
        <w:tc>
          <w:tcPr>
            <w:tcW w:w="821" w:type="dxa"/>
            <w:tcBorders>
              <w:top w:val="nil"/>
              <w:left w:val="nil"/>
              <w:bottom w:val="nil"/>
              <w:right w:val="nil"/>
            </w:tcBorders>
            <w:shd w:val="clear" w:color="auto" w:fill="D9D9D9" w:themeFill="background1" w:themeFillShade="D9"/>
            <w:vAlign w:val="center"/>
          </w:tcPr>
          <w:p w14:paraId="54951E3F" w14:textId="2A2A9AC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10.61%</w:t>
            </w:r>
          </w:p>
        </w:tc>
        <w:tc>
          <w:tcPr>
            <w:tcW w:w="878" w:type="dxa"/>
            <w:tcBorders>
              <w:top w:val="nil"/>
              <w:left w:val="nil"/>
              <w:bottom w:val="nil"/>
              <w:right w:val="nil"/>
            </w:tcBorders>
            <w:shd w:val="clear" w:color="auto" w:fill="D9D9D9" w:themeFill="background1" w:themeFillShade="D9"/>
            <w:vAlign w:val="center"/>
          </w:tcPr>
          <w:p w14:paraId="77B6396A" w14:textId="3F7FAB1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9.54%</w:t>
            </w:r>
          </w:p>
        </w:tc>
        <w:tc>
          <w:tcPr>
            <w:tcW w:w="1232" w:type="dxa"/>
            <w:tcBorders>
              <w:top w:val="nil"/>
              <w:left w:val="nil"/>
              <w:bottom w:val="nil"/>
              <w:right w:val="nil"/>
            </w:tcBorders>
            <w:shd w:val="clear" w:color="auto" w:fill="D9D9D9" w:themeFill="background1" w:themeFillShade="D9"/>
            <w:vAlign w:val="center"/>
          </w:tcPr>
          <w:p w14:paraId="24C5923E" w14:textId="1FD2738F"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1F95D602"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18A661A7" w14:textId="523FCB9D"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41FCEFA7"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single" w:sz="4" w:space="0" w:color="auto"/>
              <w:right w:val="nil"/>
            </w:tcBorders>
            <w:shd w:val="clear" w:color="auto" w:fill="D9D9D9" w:themeFill="background1" w:themeFillShade="D9"/>
            <w:vAlign w:val="center"/>
          </w:tcPr>
          <w:p w14:paraId="1F82A50C"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single" w:sz="4" w:space="0" w:color="auto"/>
              <w:right w:val="nil"/>
            </w:tcBorders>
            <w:shd w:val="clear" w:color="auto" w:fill="D9D9D9" w:themeFill="background1" w:themeFillShade="D9"/>
            <w:vAlign w:val="center"/>
          </w:tcPr>
          <w:p w14:paraId="72028CDB"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single" w:sz="4" w:space="0" w:color="auto"/>
              <w:right w:val="nil"/>
            </w:tcBorders>
            <w:shd w:val="clear" w:color="auto" w:fill="D9D9D9" w:themeFill="background1" w:themeFillShade="D9"/>
            <w:vAlign w:val="center"/>
          </w:tcPr>
          <w:p w14:paraId="66E2A30B"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r w:rsidR="00167F99" w:rsidRPr="001C277A" w14:paraId="1F0837A9"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50D5032F" w14:textId="194C15BB"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b/>
                <w:sz w:val="18"/>
                <w:szCs w:val="18"/>
              </w:rPr>
              <w:t>Vanguard Small Cap Growth Index Admiral</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09/11)</w:t>
            </w:r>
          </w:p>
        </w:tc>
        <w:tc>
          <w:tcPr>
            <w:tcW w:w="878" w:type="dxa"/>
            <w:tcBorders>
              <w:top w:val="single" w:sz="4" w:space="0" w:color="auto"/>
              <w:left w:val="nil"/>
              <w:bottom w:val="nil"/>
              <w:right w:val="nil"/>
            </w:tcBorders>
            <w:shd w:val="clear" w:color="auto" w:fill="auto"/>
            <w:vAlign w:val="center"/>
          </w:tcPr>
          <w:p w14:paraId="16E80642" w14:textId="16EA576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21.19%</w:t>
            </w:r>
          </w:p>
        </w:tc>
        <w:tc>
          <w:tcPr>
            <w:tcW w:w="821" w:type="dxa"/>
            <w:tcBorders>
              <w:top w:val="single" w:sz="4" w:space="0" w:color="auto"/>
              <w:left w:val="nil"/>
              <w:bottom w:val="nil"/>
              <w:right w:val="nil"/>
            </w:tcBorders>
            <w:shd w:val="clear" w:color="auto" w:fill="auto"/>
            <w:vAlign w:val="center"/>
          </w:tcPr>
          <w:p w14:paraId="5E44BFD5" w14:textId="372844FE"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8.32%</w:t>
            </w:r>
          </w:p>
        </w:tc>
        <w:tc>
          <w:tcPr>
            <w:tcW w:w="878" w:type="dxa"/>
            <w:tcBorders>
              <w:top w:val="single" w:sz="4" w:space="0" w:color="auto"/>
              <w:left w:val="nil"/>
              <w:bottom w:val="nil"/>
              <w:right w:val="nil"/>
            </w:tcBorders>
            <w:shd w:val="clear" w:color="auto" w:fill="auto"/>
            <w:vAlign w:val="center"/>
          </w:tcPr>
          <w:p w14:paraId="0E802E84" w14:textId="1EEB82B1"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8.52%</w:t>
            </w:r>
          </w:p>
        </w:tc>
        <w:tc>
          <w:tcPr>
            <w:tcW w:w="1232" w:type="dxa"/>
            <w:tcBorders>
              <w:top w:val="single" w:sz="4" w:space="0" w:color="auto"/>
              <w:left w:val="nil"/>
              <w:bottom w:val="nil"/>
              <w:right w:val="nil"/>
            </w:tcBorders>
            <w:shd w:val="clear" w:color="auto" w:fill="auto"/>
            <w:vAlign w:val="center"/>
          </w:tcPr>
          <w:p w14:paraId="66853326" w14:textId="4C017F8A"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11.81%</w:t>
            </w:r>
          </w:p>
        </w:tc>
      </w:tr>
      <w:tr w:rsidR="00167F99" w:rsidRPr="001C277A" w14:paraId="3A157B72" w14:textId="77777777" w:rsidTr="00CA5932">
        <w:trPr>
          <w:trHeight w:hRule="exact" w:val="230"/>
        </w:trPr>
        <w:tc>
          <w:tcPr>
            <w:tcW w:w="5659" w:type="dxa"/>
            <w:tcBorders>
              <w:top w:val="nil"/>
              <w:left w:val="nil"/>
              <w:bottom w:val="nil"/>
              <w:right w:val="nil"/>
            </w:tcBorders>
            <w:shd w:val="clear" w:color="auto" w:fill="auto"/>
            <w:vAlign w:val="center"/>
          </w:tcPr>
          <w:p w14:paraId="7104E939" w14:textId="652D9793"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 xml:space="preserve">Morningstar US </w:t>
            </w:r>
            <w:proofErr w:type="spellStart"/>
            <w:r w:rsidRPr="001C277A">
              <w:rPr>
                <w:rFonts w:ascii="Arial Narrow" w:hAnsi="Arial Narrow" w:cs="Arial"/>
                <w:sz w:val="18"/>
                <w:szCs w:val="18"/>
              </w:rPr>
              <w:t>Sml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Brd</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Grt</w:t>
            </w:r>
            <w:proofErr w:type="spellEnd"/>
            <w:r w:rsidRPr="001C277A">
              <w:rPr>
                <w:rFonts w:ascii="Arial Narrow" w:hAnsi="Arial Narrow" w:cs="Arial"/>
                <w:sz w:val="18"/>
                <w:szCs w:val="18"/>
              </w:rPr>
              <w:t xml:space="preserve"> Ext TR USD</w:t>
            </w:r>
          </w:p>
        </w:tc>
        <w:tc>
          <w:tcPr>
            <w:tcW w:w="878" w:type="dxa"/>
            <w:tcBorders>
              <w:top w:val="nil"/>
              <w:left w:val="nil"/>
              <w:bottom w:val="nil"/>
              <w:right w:val="nil"/>
            </w:tcBorders>
            <w:shd w:val="clear" w:color="auto" w:fill="auto"/>
            <w:vAlign w:val="center"/>
          </w:tcPr>
          <w:p w14:paraId="64742199" w14:textId="211CC4C9"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20.37%</w:t>
            </w:r>
          </w:p>
        </w:tc>
        <w:tc>
          <w:tcPr>
            <w:tcW w:w="821" w:type="dxa"/>
            <w:tcBorders>
              <w:top w:val="nil"/>
              <w:left w:val="nil"/>
              <w:bottom w:val="nil"/>
              <w:right w:val="nil"/>
            </w:tcBorders>
            <w:shd w:val="clear" w:color="auto" w:fill="auto"/>
            <w:vAlign w:val="center"/>
          </w:tcPr>
          <w:p w14:paraId="5639C804" w14:textId="67B61973"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7.62%</w:t>
            </w:r>
          </w:p>
        </w:tc>
        <w:tc>
          <w:tcPr>
            <w:tcW w:w="878" w:type="dxa"/>
            <w:tcBorders>
              <w:top w:val="nil"/>
              <w:left w:val="nil"/>
              <w:bottom w:val="nil"/>
              <w:right w:val="nil"/>
            </w:tcBorders>
            <w:shd w:val="clear" w:color="auto" w:fill="auto"/>
            <w:vAlign w:val="center"/>
          </w:tcPr>
          <w:p w14:paraId="01BB2EB4" w14:textId="4FFB4717"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7.99%</w:t>
            </w:r>
          </w:p>
        </w:tc>
        <w:tc>
          <w:tcPr>
            <w:tcW w:w="1232" w:type="dxa"/>
            <w:tcBorders>
              <w:top w:val="nil"/>
              <w:left w:val="nil"/>
              <w:bottom w:val="nil"/>
              <w:right w:val="nil"/>
            </w:tcBorders>
            <w:shd w:val="clear" w:color="auto" w:fill="auto"/>
            <w:vAlign w:val="center"/>
          </w:tcPr>
          <w:p w14:paraId="04FB5C6D" w14:textId="75E30FEC" w:rsidR="00167F99" w:rsidRPr="001C277A" w:rsidRDefault="00167F99" w:rsidP="00167F99">
            <w:pPr>
              <w:autoSpaceDE w:val="0"/>
              <w:autoSpaceDN w:val="0"/>
              <w:adjustRightInd w:val="0"/>
              <w:spacing w:after="120"/>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33E8047" w14:textId="77777777" w:rsidTr="00CA5932">
        <w:trPr>
          <w:trHeight w:hRule="exact" w:val="230"/>
        </w:trPr>
        <w:tc>
          <w:tcPr>
            <w:tcW w:w="5659" w:type="dxa"/>
            <w:tcBorders>
              <w:top w:val="nil"/>
              <w:left w:val="nil"/>
              <w:bottom w:val="nil"/>
              <w:right w:val="nil"/>
            </w:tcBorders>
            <w:shd w:val="clear" w:color="auto" w:fill="auto"/>
            <w:vAlign w:val="center"/>
          </w:tcPr>
          <w:p w14:paraId="7A96F483" w14:textId="7FCC0053" w:rsidR="00167F99" w:rsidRPr="001C277A" w:rsidRDefault="00167F99" w:rsidP="00167F99">
            <w:pPr>
              <w:autoSpaceDE w:val="0"/>
              <w:autoSpaceDN w:val="0"/>
              <w:adjustRightInd w:val="0"/>
              <w:spacing w:after="120"/>
              <w:rPr>
                <w:rFonts w:ascii="Arial Narrow" w:hAnsi="Arial Narrow" w:cs="Arial"/>
                <w:sz w:val="18"/>
                <w:szCs w:val="18"/>
              </w:rPr>
            </w:pPr>
            <w:r w:rsidRPr="001C277A">
              <w:rPr>
                <w:rFonts w:ascii="Arial Narrow" w:hAnsi="Arial Narrow" w:cs="Arial"/>
                <w:sz w:val="18"/>
                <w:szCs w:val="18"/>
              </w:rPr>
              <w:t>www.LincolnFinancial.com</w:t>
            </w:r>
          </w:p>
        </w:tc>
        <w:tc>
          <w:tcPr>
            <w:tcW w:w="878" w:type="dxa"/>
            <w:tcBorders>
              <w:top w:val="nil"/>
              <w:left w:val="nil"/>
              <w:bottom w:val="nil"/>
              <w:right w:val="nil"/>
            </w:tcBorders>
            <w:shd w:val="clear" w:color="auto" w:fill="auto"/>
            <w:vAlign w:val="center"/>
          </w:tcPr>
          <w:p w14:paraId="0C2F3FE0"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21" w:type="dxa"/>
            <w:tcBorders>
              <w:top w:val="nil"/>
              <w:left w:val="nil"/>
              <w:bottom w:val="nil"/>
              <w:right w:val="nil"/>
            </w:tcBorders>
            <w:shd w:val="clear" w:color="auto" w:fill="auto"/>
            <w:vAlign w:val="center"/>
          </w:tcPr>
          <w:p w14:paraId="0BB238A3"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878" w:type="dxa"/>
            <w:tcBorders>
              <w:top w:val="nil"/>
              <w:left w:val="nil"/>
              <w:bottom w:val="nil"/>
              <w:right w:val="nil"/>
            </w:tcBorders>
            <w:shd w:val="clear" w:color="auto" w:fill="auto"/>
            <w:vAlign w:val="center"/>
          </w:tcPr>
          <w:p w14:paraId="4F338AE6"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c>
          <w:tcPr>
            <w:tcW w:w="1232" w:type="dxa"/>
            <w:tcBorders>
              <w:top w:val="nil"/>
              <w:left w:val="nil"/>
              <w:bottom w:val="nil"/>
              <w:right w:val="nil"/>
            </w:tcBorders>
            <w:shd w:val="clear" w:color="auto" w:fill="auto"/>
            <w:vAlign w:val="center"/>
          </w:tcPr>
          <w:p w14:paraId="0764708D" w14:textId="77777777" w:rsidR="00167F99" w:rsidRPr="001C277A" w:rsidRDefault="00167F99" w:rsidP="00167F99">
            <w:pPr>
              <w:autoSpaceDE w:val="0"/>
              <w:autoSpaceDN w:val="0"/>
              <w:adjustRightInd w:val="0"/>
              <w:spacing w:after="120"/>
              <w:jc w:val="center"/>
              <w:rPr>
                <w:rFonts w:ascii="Arial Narrow" w:hAnsi="Arial Narrow" w:cs="Arial"/>
                <w:sz w:val="18"/>
                <w:szCs w:val="18"/>
              </w:rPr>
            </w:pPr>
          </w:p>
        </w:tc>
      </w:tr>
    </w:tbl>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9"/>
        <w:gridCol w:w="878"/>
        <w:gridCol w:w="821"/>
        <w:gridCol w:w="878"/>
        <w:gridCol w:w="1238"/>
      </w:tblGrid>
      <w:tr w:rsidR="00167F99" w:rsidRPr="001C277A" w14:paraId="33325DAD"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27E3D9BB" w14:textId="2E4088F2"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Vanguard Small Cap Value Index Admiral</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09/11)</w:t>
            </w:r>
          </w:p>
        </w:tc>
        <w:tc>
          <w:tcPr>
            <w:tcW w:w="878" w:type="dxa"/>
            <w:tcBorders>
              <w:top w:val="single" w:sz="4" w:space="0" w:color="auto"/>
              <w:left w:val="nil"/>
              <w:bottom w:val="nil"/>
              <w:right w:val="nil"/>
            </w:tcBorders>
            <w:shd w:val="clear" w:color="auto" w:fill="D9D9D9" w:themeFill="background1" w:themeFillShade="D9"/>
            <w:vAlign w:val="center"/>
          </w:tcPr>
          <w:p w14:paraId="6B24A616" w14:textId="7CD2703F"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23.47%</w:t>
            </w:r>
          </w:p>
        </w:tc>
        <w:tc>
          <w:tcPr>
            <w:tcW w:w="821" w:type="dxa"/>
            <w:tcBorders>
              <w:top w:val="single" w:sz="4" w:space="0" w:color="auto"/>
              <w:left w:val="nil"/>
              <w:bottom w:val="nil"/>
              <w:right w:val="nil"/>
            </w:tcBorders>
            <w:shd w:val="clear" w:color="auto" w:fill="D9D9D9" w:themeFill="background1" w:themeFillShade="D9"/>
            <w:vAlign w:val="center"/>
          </w:tcPr>
          <w:p w14:paraId="78047AF2" w14:textId="302913E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10.60%</w:t>
            </w:r>
          </w:p>
        </w:tc>
        <w:tc>
          <w:tcPr>
            <w:tcW w:w="878" w:type="dxa"/>
            <w:tcBorders>
              <w:top w:val="single" w:sz="4" w:space="0" w:color="auto"/>
              <w:left w:val="nil"/>
              <w:bottom w:val="nil"/>
              <w:right w:val="nil"/>
            </w:tcBorders>
            <w:shd w:val="clear" w:color="auto" w:fill="D9D9D9" w:themeFill="background1" w:themeFillShade="D9"/>
            <w:vAlign w:val="center"/>
          </w:tcPr>
          <w:p w14:paraId="5EED97EA" w14:textId="32ED57DD"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8.87%</w:t>
            </w:r>
          </w:p>
        </w:tc>
        <w:tc>
          <w:tcPr>
            <w:tcW w:w="1238" w:type="dxa"/>
            <w:tcBorders>
              <w:top w:val="single" w:sz="4" w:space="0" w:color="auto"/>
              <w:left w:val="nil"/>
              <w:bottom w:val="nil"/>
              <w:right w:val="nil"/>
            </w:tcBorders>
            <w:shd w:val="clear" w:color="auto" w:fill="D9D9D9" w:themeFill="background1" w:themeFillShade="D9"/>
            <w:vAlign w:val="center"/>
          </w:tcPr>
          <w:p w14:paraId="5BE9CB8A" w14:textId="5650960C"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12.41%</w:t>
            </w:r>
          </w:p>
        </w:tc>
      </w:tr>
      <w:tr w:rsidR="00167F99" w:rsidRPr="001C277A" w14:paraId="5387474C"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4104AC78" w14:textId="07C700F6"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 xml:space="preserve">Morningstar US </w:t>
            </w:r>
            <w:proofErr w:type="spellStart"/>
            <w:r w:rsidRPr="001C277A">
              <w:rPr>
                <w:rFonts w:ascii="Arial Narrow" w:hAnsi="Arial Narrow" w:cs="Arial"/>
                <w:sz w:val="18"/>
                <w:szCs w:val="20"/>
              </w:rPr>
              <w:t>Sml</w:t>
            </w:r>
            <w:proofErr w:type="spellEnd"/>
            <w:r w:rsidRPr="001C277A">
              <w:rPr>
                <w:rFonts w:ascii="Arial Narrow" w:hAnsi="Arial Narrow" w:cs="Arial"/>
                <w:sz w:val="18"/>
                <w:szCs w:val="20"/>
              </w:rPr>
              <w:t xml:space="preserve"> </w:t>
            </w:r>
            <w:proofErr w:type="spellStart"/>
            <w:r w:rsidRPr="001C277A">
              <w:rPr>
                <w:rFonts w:ascii="Arial Narrow" w:hAnsi="Arial Narrow" w:cs="Arial"/>
                <w:sz w:val="18"/>
                <w:szCs w:val="20"/>
              </w:rPr>
              <w:t>Brd</w:t>
            </w:r>
            <w:proofErr w:type="spellEnd"/>
            <w:r w:rsidRPr="001C277A">
              <w:rPr>
                <w:rFonts w:ascii="Arial Narrow" w:hAnsi="Arial Narrow" w:cs="Arial"/>
                <w:sz w:val="18"/>
                <w:szCs w:val="20"/>
              </w:rPr>
              <w:t xml:space="preserve"> Val Ext TR USD</w:t>
            </w:r>
          </w:p>
        </w:tc>
        <w:tc>
          <w:tcPr>
            <w:tcW w:w="878" w:type="dxa"/>
            <w:tcBorders>
              <w:top w:val="nil"/>
              <w:left w:val="nil"/>
              <w:bottom w:val="nil"/>
              <w:right w:val="nil"/>
            </w:tcBorders>
            <w:shd w:val="clear" w:color="auto" w:fill="D9D9D9" w:themeFill="background1" w:themeFillShade="D9"/>
            <w:vAlign w:val="center"/>
          </w:tcPr>
          <w:p w14:paraId="6B5956E6" w14:textId="787C8261"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19.95%</w:t>
            </w:r>
          </w:p>
        </w:tc>
        <w:tc>
          <w:tcPr>
            <w:tcW w:w="821" w:type="dxa"/>
            <w:tcBorders>
              <w:top w:val="nil"/>
              <w:left w:val="nil"/>
              <w:bottom w:val="nil"/>
              <w:right w:val="nil"/>
            </w:tcBorders>
            <w:shd w:val="clear" w:color="auto" w:fill="D9D9D9" w:themeFill="background1" w:themeFillShade="D9"/>
            <w:vAlign w:val="center"/>
          </w:tcPr>
          <w:p w14:paraId="5D67B78E" w14:textId="5BA2B91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9.76%</w:t>
            </w:r>
          </w:p>
        </w:tc>
        <w:tc>
          <w:tcPr>
            <w:tcW w:w="878" w:type="dxa"/>
            <w:tcBorders>
              <w:top w:val="nil"/>
              <w:left w:val="nil"/>
              <w:bottom w:val="nil"/>
              <w:right w:val="nil"/>
            </w:tcBorders>
            <w:shd w:val="clear" w:color="auto" w:fill="D9D9D9" w:themeFill="background1" w:themeFillShade="D9"/>
            <w:vAlign w:val="center"/>
          </w:tcPr>
          <w:p w14:paraId="6EF9A21E" w14:textId="0CA3E9A6"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7.50%</w:t>
            </w:r>
          </w:p>
        </w:tc>
        <w:tc>
          <w:tcPr>
            <w:tcW w:w="1238" w:type="dxa"/>
            <w:tcBorders>
              <w:top w:val="nil"/>
              <w:left w:val="nil"/>
              <w:bottom w:val="nil"/>
              <w:right w:val="nil"/>
            </w:tcBorders>
            <w:shd w:val="clear" w:color="auto" w:fill="D9D9D9" w:themeFill="background1" w:themeFillShade="D9"/>
            <w:vAlign w:val="center"/>
          </w:tcPr>
          <w:p w14:paraId="79CD4970" w14:textId="0747388F"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0B62ED3"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2E93D351" w14:textId="482F30AA"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nil"/>
              <w:right w:val="nil"/>
            </w:tcBorders>
            <w:shd w:val="clear" w:color="auto" w:fill="D9D9D9" w:themeFill="background1" w:themeFillShade="D9"/>
            <w:vAlign w:val="center"/>
          </w:tcPr>
          <w:p w14:paraId="781E8731"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nil"/>
              <w:right w:val="nil"/>
            </w:tcBorders>
            <w:shd w:val="clear" w:color="auto" w:fill="D9D9D9" w:themeFill="background1" w:themeFillShade="D9"/>
            <w:vAlign w:val="center"/>
          </w:tcPr>
          <w:p w14:paraId="4635488E"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nil"/>
              <w:right w:val="nil"/>
            </w:tcBorders>
            <w:shd w:val="clear" w:color="auto" w:fill="D9D9D9" w:themeFill="background1" w:themeFillShade="D9"/>
            <w:vAlign w:val="center"/>
          </w:tcPr>
          <w:p w14:paraId="052D3CD7"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nil"/>
              <w:right w:val="nil"/>
            </w:tcBorders>
            <w:shd w:val="clear" w:color="auto" w:fill="D9D9D9" w:themeFill="background1" w:themeFillShade="D9"/>
            <w:vAlign w:val="center"/>
          </w:tcPr>
          <w:p w14:paraId="3383C1FF"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167F99" w:rsidRPr="001C277A" w14:paraId="5A35C917" w14:textId="77777777" w:rsidTr="00CA5932">
        <w:trPr>
          <w:trHeight w:hRule="exact" w:val="320"/>
        </w:trPr>
        <w:tc>
          <w:tcPr>
            <w:tcW w:w="5659" w:type="dxa"/>
            <w:tcBorders>
              <w:top w:val="nil"/>
              <w:left w:val="nil"/>
              <w:bottom w:val="single" w:sz="4" w:space="0" w:color="auto"/>
              <w:right w:val="nil"/>
            </w:tcBorders>
            <w:shd w:val="clear" w:color="auto" w:fill="000000"/>
            <w:vAlign w:val="center"/>
          </w:tcPr>
          <w:p w14:paraId="7D4B20EB" w14:textId="5C705CE2"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r w:rsidRPr="001C277A">
              <w:rPr>
                <w:rFonts w:ascii="Arial Narrow" w:hAnsi="Arial Narrow" w:cs="Arial"/>
                <w:b/>
                <w:color w:val="FFFFFF"/>
                <w:sz w:val="18"/>
                <w:szCs w:val="20"/>
              </w:rPr>
              <w:t>Bond Funds</w:t>
            </w:r>
          </w:p>
        </w:tc>
        <w:tc>
          <w:tcPr>
            <w:tcW w:w="878" w:type="dxa"/>
            <w:tcBorders>
              <w:top w:val="nil"/>
              <w:left w:val="nil"/>
              <w:bottom w:val="single" w:sz="4" w:space="0" w:color="auto"/>
              <w:right w:val="nil"/>
            </w:tcBorders>
            <w:shd w:val="clear" w:color="auto" w:fill="000000"/>
            <w:vAlign w:val="center"/>
          </w:tcPr>
          <w:p w14:paraId="463AC6B7"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821" w:type="dxa"/>
            <w:tcBorders>
              <w:top w:val="nil"/>
              <w:left w:val="nil"/>
              <w:bottom w:val="single" w:sz="4" w:space="0" w:color="auto"/>
              <w:right w:val="nil"/>
            </w:tcBorders>
            <w:shd w:val="clear" w:color="auto" w:fill="000000"/>
            <w:vAlign w:val="center"/>
          </w:tcPr>
          <w:p w14:paraId="57E63152"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878" w:type="dxa"/>
            <w:tcBorders>
              <w:top w:val="nil"/>
              <w:left w:val="nil"/>
              <w:bottom w:val="single" w:sz="4" w:space="0" w:color="auto"/>
              <w:right w:val="nil"/>
            </w:tcBorders>
            <w:shd w:val="clear" w:color="auto" w:fill="000000"/>
            <w:vAlign w:val="center"/>
          </w:tcPr>
          <w:p w14:paraId="34FF04A3"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1238" w:type="dxa"/>
            <w:tcBorders>
              <w:top w:val="nil"/>
              <w:left w:val="nil"/>
              <w:bottom w:val="single" w:sz="4" w:space="0" w:color="auto"/>
              <w:right w:val="nil"/>
            </w:tcBorders>
            <w:shd w:val="clear" w:color="auto" w:fill="000000"/>
            <w:vAlign w:val="center"/>
          </w:tcPr>
          <w:p w14:paraId="36619FA2"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r>
      <w:tr w:rsidR="00167F99" w:rsidRPr="001C277A" w14:paraId="1CA92468"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7C62AE38" w14:textId="1FE66F8B"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American Funds American High-Inc R6</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05/09)</w:t>
            </w:r>
          </w:p>
        </w:tc>
        <w:tc>
          <w:tcPr>
            <w:tcW w:w="878" w:type="dxa"/>
            <w:tcBorders>
              <w:top w:val="single" w:sz="4" w:space="0" w:color="auto"/>
              <w:left w:val="nil"/>
              <w:bottom w:val="nil"/>
              <w:right w:val="nil"/>
            </w:tcBorders>
            <w:shd w:val="clear" w:color="auto" w:fill="auto"/>
            <w:vAlign w:val="center"/>
          </w:tcPr>
          <w:p w14:paraId="70C2A495" w14:textId="6651DF1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11.85%</w:t>
            </w:r>
          </w:p>
        </w:tc>
        <w:tc>
          <w:tcPr>
            <w:tcW w:w="821" w:type="dxa"/>
            <w:tcBorders>
              <w:top w:val="single" w:sz="4" w:space="0" w:color="auto"/>
              <w:left w:val="nil"/>
              <w:bottom w:val="nil"/>
              <w:right w:val="nil"/>
            </w:tcBorders>
            <w:shd w:val="clear" w:color="auto" w:fill="auto"/>
            <w:vAlign w:val="center"/>
          </w:tcPr>
          <w:p w14:paraId="7630ED46" w14:textId="6DE86D03"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5.09%</w:t>
            </w:r>
          </w:p>
        </w:tc>
        <w:tc>
          <w:tcPr>
            <w:tcW w:w="878" w:type="dxa"/>
            <w:tcBorders>
              <w:top w:val="single" w:sz="4" w:space="0" w:color="auto"/>
              <w:left w:val="nil"/>
              <w:bottom w:val="nil"/>
              <w:right w:val="nil"/>
            </w:tcBorders>
            <w:shd w:val="clear" w:color="auto" w:fill="auto"/>
            <w:vAlign w:val="center"/>
          </w:tcPr>
          <w:p w14:paraId="4E0B8E17" w14:textId="08AB0F5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4.46%</w:t>
            </w:r>
          </w:p>
        </w:tc>
        <w:tc>
          <w:tcPr>
            <w:tcW w:w="1238" w:type="dxa"/>
            <w:tcBorders>
              <w:top w:val="single" w:sz="4" w:space="0" w:color="auto"/>
              <w:left w:val="nil"/>
              <w:bottom w:val="nil"/>
              <w:right w:val="nil"/>
            </w:tcBorders>
            <w:shd w:val="clear" w:color="auto" w:fill="auto"/>
            <w:vAlign w:val="center"/>
          </w:tcPr>
          <w:p w14:paraId="2C56E558" w14:textId="2579459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7.76%</w:t>
            </w:r>
          </w:p>
        </w:tc>
      </w:tr>
      <w:tr w:rsidR="00167F99" w:rsidRPr="001C277A" w14:paraId="43E58440" w14:textId="77777777" w:rsidTr="00CA5932">
        <w:trPr>
          <w:trHeight w:hRule="exact" w:val="230"/>
        </w:trPr>
        <w:tc>
          <w:tcPr>
            <w:tcW w:w="5659" w:type="dxa"/>
            <w:tcBorders>
              <w:top w:val="nil"/>
              <w:left w:val="nil"/>
              <w:bottom w:val="nil"/>
              <w:right w:val="nil"/>
            </w:tcBorders>
            <w:shd w:val="clear" w:color="auto" w:fill="auto"/>
            <w:vAlign w:val="center"/>
          </w:tcPr>
          <w:p w14:paraId="06C6068F" w14:textId="570F7319"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Morningstar US HY Bd TR USD</w:t>
            </w:r>
          </w:p>
        </w:tc>
        <w:tc>
          <w:tcPr>
            <w:tcW w:w="878" w:type="dxa"/>
            <w:tcBorders>
              <w:top w:val="nil"/>
              <w:left w:val="nil"/>
              <w:bottom w:val="nil"/>
              <w:right w:val="nil"/>
            </w:tcBorders>
            <w:shd w:val="clear" w:color="auto" w:fill="auto"/>
            <w:vAlign w:val="center"/>
          </w:tcPr>
          <w:p w14:paraId="75F6550B" w14:textId="06BF7CD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11.13%</w:t>
            </w:r>
          </w:p>
        </w:tc>
        <w:tc>
          <w:tcPr>
            <w:tcW w:w="821" w:type="dxa"/>
            <w:tcBorders>
              <w:top w:val="nil"/>
              <w:left w:val="nil"/>
              <w:bottom w:val="nil"/>
              <w:right w:val="nil"/>
            </w:tcBorders>
            <w:shd w:val="clear" w:color="auto" w:fill="auto"/>
            <w:vAlign w:val="center"/>
          </w:tcPr>
          <w:p w14:paraId="06297093" w14:textId="7B25407C"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4.21%</w:t>
            </w:r>
          </w:p>
        </w:tc>
        <w:tc>
          <w:tcPr>
            <w:tcW w:w="878" w:type="dxa"/>
            <w:tcBorders>
              <w:top w:val="nil"/>
              <w:left w:val="nil"/>
              <w:bottom w:val="nil"/>
              <w:right w:val="nil"/>
            </w:tcBorders>
            <w:shd w:val="clear" w:color="auto" w:fill="auto"/>
            <w:vAlign w:val="center"/>
          </w:tcPr>
          <w:p w14:paraId="7ED06854" w14:textId="5F27C2F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4.44%</w:t>
            </w:r>
          </w:p>
        </w:tc>
        <w:tc>
          <w:tcPr>
            <w:tcW w:w="1238" w:type="dxa"/>
            <w:tcBorders>
              <w:top w:val="nil"/>
              <w:left w:val="nil"/>
              <w:bottom w:val="nil"/>
              <w:right w:val="nil"/>
            </w:tcBorders>
            <w:shd w:val="clear" w:color="auto" w:fill="auto"/>
            <w:vAlign w:val="center"/>
          </w:tcPr>
          <w:p w14:paraId="1C3F4FCF" w14:textId="136F698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4CA1F369"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43275AB9" w14:textId="7C03D6D6"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single" w:sz="4" w:space="0" w:color="auto"/>
              <w:right w:val="nil"/>
            </w:tcBorders>
            <w:shd w:val="clear" w:color="auto" w:fill="auto"/>
            <w:vAlign w:val="center"/>
          </w:tcPr>
          <w:p w14:paraId="57D047AB"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single" w:sz="4" w:space="0" w:color="auto"/>
              <w:right w:val="nil"/>
            </w:tcBorders>
            <w:shd w:val="clear" w:color="auto" w:fill="auto"/>
            <w:vAlign w:val="center"/>
          </w:tcPr>
          <w:p w14:paraId="6C5A4A81"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single" w:sz="4" w:space="0" w:color="auto"/>
              <w:right w:val="nil"/>
            </w:tcBorders>
            <w:shd w:val="clear" w:color="auto" w:fill="auto"/>
            <w:vAlign w:val="center"/>
          </w:tcPr>
          <w:p w14:paraId="5EE91978"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single" w:sz="4" w:space="0" w:color="auto"/>
              <w:right w:val="nil"/>
            </w:tcBorders>
            <w:shd w:val="clear" w:color="auto" w:fill="auto"/>
            <w:vAlign w:val="center"/>
          </w:tcPr>
          <w:p w14:paraId="2F82EBEF"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167F99" w:rsidRPr="001C277A" w14:paraId="3C645A02"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1E06D031" w14:textId="70DDC53B"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DFA Inflation-Protected Securities I</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09/06)</w:t>
            </w:r>
          </w:p>
        </w:tc>
        <w:tc>
          <w:tcPr>
            <w:tcW w:w="878" w:type="dxa"/>
            <w:tcBorders>
              <w:top w:val="single" w:sz="4" w:space="0" w:color="auto"/>
              <w:left w:val="nil"/>
              <w:bottom w:val="nil"/>
              <w:right w:val="nil"/>
            </w:tcBorders>
            <w:shd w:val="clear" w:color="auto" w:fill="D9D9D9" w:themeFill="background1" w:themeFillShade="D9"/>
            <w:vAlign w:val="center"/>
          </w:tcPr>
          <w:p w14:paraId="066DAE64" w14:textId="06E465B8"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0.14%</w:t>
            </w:r>
          </w:p>
        </w:tc>
        <w:tc>
          <w:tcPr>
            <w:tcW w:w="821" w:type="dxa"/>
            <w:tcBorders>
              <w:top w:val="single" w:sz="4" w:space="0" w:color="auto"/>
              <w:left w:val="nil"/>
              <w:bottom w:val="nil"/>
              <w:right w:val="nil"/>
            </w:tcBorders>
            <w:shd w:val="clear" w:color="auto" w:fill="D9D9D9" w:themeFill="background1" w:themeFillShade="D9"/>
            <w:vAlign w:val="center"/>
          </w:tcPr>
          <w:p w14:paraId="38C7DA7E" w14:textId="031EEBEF"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2.39%</w:t>
            </w:r>
          </w:p>
        </w:tc>
        <w:tc>
          <w:tcPr>
            <w:tcW w:w="878" w:type="dxa"/>
            <w:tcBorders>
              <w:top w:val="single" w:sz="4" w:space="0" w:color="auto"/>
              <w:left w:val="nil"/>
              <w:bottom w:val="nil"/>
              <w:right w:val="nil"/>
            </w:tcBorders>
            <w:shd w:val="clear" w:color="auto" w:fill="D9D9D9" w:themeFill="background1" w:themeFillShade="D9"/>
            <w:vAlign w:val="center"/>
          </w:tcPr>
          <w:p w14:paraId="6615D509" w14:textId="544DEA1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2.23%</w:t>
            </w:r>
          </w:p>
        </w:tc>
        <w:tc>
          <w:tcPr>
            <w:tcW w:w="1238" w:type="dxa"/>
            <w:tcBorders>
              <w:top w:val="single" w:sz="4" w:space="0" w:color="auto"/>
              <w:left w:val="nil"/>
              <w:bottom w:val="nil"/>
              <w:right w:val="nil"/>
            </w:tcBorders>
            <w:shd w:val="clear" w:color="auto" w:fill="D9D9D9" w:themeFill="background1" w:themeFillShade="D9"/>
            <w:vAlign w:val="center"/>
          </w:tcPr>
          <w:p w14:paraId="6E9A9C20" w14:textId="4C1B66E1"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3.55%</w:t>
            </w:r>
          </w:p>
        </w:tc>
      </w:tr>
      <w:tr w:rsidR="00167F99" w:rsidRPr="001C277A" w14:paraId="48C286DF"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3873B3E5" w14:textId="69BD0714"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Morningstar US TIPS TR USD</w:t>
            </w:r>
          </w:p>
        </w:tc>
        <w:tc>
          <w:tcPr>
            <w:tcW w:w="878" w:type="dxa"/>
            <w:tcBorders>
              <w:top w:val="nil"/>
              <w:left w:val="nil"/>
              <w:bottom w:val="nil"/>
              <w:right w:val="nil"/>
            </w:tcBorders>
            <w:shd w:val="clear" w:color="auto" w:fill="D9D9D9" w:themeFill="background1" w:themeFillShade="D9"/>
            <w:vAlign w:val="center"/>
          </w:tcPr>
          <w:p w14:paraId="49C91F13" w14:textId="13C583F4"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0.34%</w:t>
            </w:r>
          </w:p>
        </w:tc>
        <w:tc>
          <w:tcPr>
            <w:tcW w:w="821" w:type="dxa"/>
            <w:tcBorders>
              <w:top w:val="nil"/>
              <w:left w:val="nil"/>
              <w:bottom w:val="nil"/>
              <w:right w:val="nil"/>
            </w:tcBorders>
            <w:shd w:val="clear" w:color="auto" w:fill="D9D9D9" w:themeFill="background1" w:themeFillShade="D9"/>
            <w:vAlign w:val="center"/>
          </w:tcPr>
          <w:p w14:paraId="43B9EF4C" w14:textId="1B63DA85"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2.32%</w:t>
            </w:r>
          </w:p>
        </w:tc>
        <w:tc>
          <w:tcPr>
            <w:tcW w:w="878" w:type="dxa"/>
            <w:tcBorders>
              <w:top w:val="nil"/>
              <w:left w:val="nil"/>
              <w:bottom w:val="nil"/>
              <w:right w:val="nil"/>
            </w:tcBorders>
            <w:shd w:val="clear" w:color="auto" w:fill="D9D9D9" w:themeFill="background1" w:themeFillShade="D9"/>
            <w:vAlign w:val="center"/>
          </w:tcPr>
          <w:p w14:paraId="4F1E16D1" w14:textId="60C2E09A"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2.09%</w:t>
            </w:r>
          </w:p>
        </w:tc>
        <w:tc>
          <w:tcPr>
            <w:tcW w:w="1238" w:type="dxa"/>
            <w:tcBorders>
              <w:top w:val="nil"/>
              <w:left w:val="nil"/>
              <w:bottom w:val="nil"/>
              <w:right w:val="nil"/>
            </w:tcBorders>
            <w:shd w:val="clear" w:color="auto" w:fill="D9D9D9" w:themeFill="background1" w:themeFillShade="D9"/>
            <w:vAlign w:val="center"/>
          </w:tcPr>
          <w:p w14:paraId="505E3275" w14:textId="2F2F6E4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0489EFBF"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753FB3E8" w14:textId="3ABF2A22"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27E5BE99"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single" w:sz="4" w:space="0" w:color="auto"/>
              <w:right w:val="nil"/>
            </w:tcBorders>
            <w:shd w:val="clear" w:color="auto" w:fill="D9D9D9" w:themeFill="background1" w:themeFillShade="D9"/>
            <w:vAlign w:val="center"/>
          </w:tcPr>
          <w:p w14:paraId="33CDBC0A"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single" w:sz="4" w:space="0" w:color="auto"/>
              <w:right w:val="nil"/>
            </w:tcBorders>
            <w:shd w:val="clear" w:color="auto" w:fill="D9D9D9" w:themeFill="background1" w:themeFillShade="D9"/>
            <w:vAlign w:val="center"/>
          </w:tcPr>
          <w:p w14:paraId="76B397E8"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single" w:sz="4" w:space="0" w:color="auto"/>
              <w:right w:val="nil"/>
            </w:tcBorders>
            <w:shd w:val="clear" w:color="auto" w:fill="D9D9D9" w:themeFill="background1" w:themeFillShade="D9"/>
            <w:vAlign w:val="center"/>
          </w:tcPr>
          <w:p w14:paraId="62D79C09"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167F99" w:rsidRPr="001C277A" w14:paraId="498C5561"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66B113A1" w14:textId="27B44893"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Federated Hermes Govt Ultrashort R6</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03/16)</w:t>
            </w:r>
          </w:p>
        </w:tc>
        <w:tc>
          <w:tcPr>
            <w:tcW w:w="878" w:type="dxa"/>
            <w:tcBorders>
              <w:top w:val="single" w:sz="4" w:space="0" w:color="auto"/>
              <w:left w:val="nil"/>
              <w:bottom w:val="nil"/>
              <w:right w:val="nil"/>
            </w:tcBorders>
            <w:shd w:val="clear" w:color="auto" w:fill="auto"/>
            <w:vAlign w:val="center"/>
          </w:tcPr>
          <w:p w14:paraId="324AFC27" w14:textId="4A50FD2D"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5.36%</w:t>
            </w:r>
          </w:p>
        </w:tc>
        <w:tc>
          <w:tcPr>
            <w:tcW w:w="821" w:type="dxa"/>
            <w:tcBorders>
              <w:top w:val="single" w:sz="4" w:space="0" w:color="auto"/>
              <w:left w:val="nil"/>
              <w:bottom w:val="nil"/>
              <w:right w:val="nil"/>
            </w:tcBorders>
            <w:shd w:val="clear" w:color="auto" w:fill="auto"/>
            <w:vAlign w:val="center"/>
          </w:tcPr>
          <w:p w14:paraId="01B836E5" w14:textId="200D9605"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2.03%</w:t>
            </w:r>
          </w:p>
        </w:tc>
        <w:tc>
          <w:tcPr>
            <w:tcW w:w="878" w:type="dxa"/>
            <w:tcBorders>
              <w:top w:val="single" w:sz="4" w:space="0" w:color="auto"/>
              <w:left w:val="nil"/>
              <w:bottom w:val="nil"/>
              <w:right w:val="nil"/>
            </w:tcBorders>
            <w:shd w:val="clear" w:color="auto" w:fill="auto"/>
            <w:vAlign w:val="center"/>
          </w:tcPr>
          <w:p w14:paraId="131E90B0" w14:textId="4440FC28"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1.43%</w:t>
            </w:r>
          </w:p>
        </w:tc>
        <w:tc>
          <w:tcPr>
            <w:tcW w:w="1238" w:type="dxa"/>
            <w:tcBorders>
              <w:top w:val="single" w:sz="4" w:space="0" w:color="auto"/>
              <w:left w:val="nil"/>
              <w:bottom w:val="nil"/>
              <w:right w:val="nil"/>
            </w:tcBorders>
            <w:shd w:val="clear" w:color="auto" w:fill="auto"/>
            <w:vAlign w:val="center"/>
          </w:tcPr>
          <w:p w14:paraId="16A16AD6" w14:textId="0C16692B"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1.76%</w:t>
            </w:r>
          </w:p>
        </w:tc>
      </w:tr>
      <w:tr w:rsidR="00167F99" w:rsidRPr="001C277A" w14:paraId="63F79DC1" w14:textId="77777777" w:rsidTr="00CA5932">
        <w:trPr>
          <w:trHeight w:hRule="exact" w:val="230"/>
        </w:trPr>
        <w:tc>
          <w:tcPr>
            <w:tcW w:w="5659" w:type="dxa"/>
            <w:tcBorders>
              <w:top w:val="nil"/>
              <w:left w:val="nil"/>
              <w:bottom w:val="nil"/>
              <w:right w:val="nil"/>
            </w:tcBorders>
            <w:shd w:val="clear" w:color="auto" w:fill="auto"/>
            <w:vAlign w:val="center"/>
          </w:tcPr>
          <w:p w14:paraId="2A1B0F69" w14:textId="2D6BDCD1"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 xml:space="preserve">Morningstar US 1-3Y </w:t>
            </w:r>
            <w:proofErr w:type="spellStart"/>
            <w:r w:rsidRPr="001C277A">
              <w:rPr>
                <w:rFonts w:ascii="Arial Narrow" w:hAnsi="Arial Narrow" w:cs="Arial"/>
                <w:sz w:val="18"/>
                <w:szCs w:val="20"/>
              </w:rPr>
              <w:t>Gov&amp;Corp</w:t>
            </w:r>
            <w:proofErr w:type="spellEnd"/>
            <w:r w:rsidRPr="001C277A">
              <w:rPr>
                <w:rFonts w:ascii="Arial Narrow" w:hAnsi="Arial Narrow" w:cs="Arial"/>
                <w:sz w:val="18"/>
                <w:szCs w:val="20"/>
              </w:rPr>
              <w:t xml:space="preserve"> TR USD</w:t>
            </w:r>
          </w:p>
        </w:tc>
        <w:tc>
          <w:tcPr>
            <w:tcW w:w="878" w:type="dxa"/>
            <w:tcBorders>
              <w:top w:val="nil"/>
              <w:left w:val="nil"/>
              <w:bottom w:val="nil"/>
              <w:right w:val="nil"/>
            </w:tcBorders>
            <w:shd w:val="clear" w:color="auto" w:fill="auto"/>
            <w:vAlign w:val="center"/>
          </w:tcPr>
          <w:p w14:paraId="6B2AF55A" w14:textId="1E030064"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3.40%</w:t>
            </w:r>
          </w:p>
        </w:tc>
        <w:tc>
          <w:tcPr>
            <w:tcW w:w="821" w:type="dxa"/>
            <w:tcBorders>
              <w:top w:val="nil"/>
              <w:left w:val="nil"/>
              <w:bottom w:val="nil"/>
              <w:right w:val="nil"/>
            </w:tcBorders>
            <w:shd w:val="clear" w:color="auto" w:fill="auto"/>
            <w:vAlign w:val="center"/>
          </w:tcPr>
          <w:p w14:paraId="6A135F1A" w14:textId="7432B43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1.31%</w:t>
            </w:r>
          </w:p>
        </w:tc>
        <w:tc>
          <w:tcPr>
            <w:tcW w:w="878" w:type="dxa"/>
            <w:tcBorders>
              <w:top w:val="nil"/>
              <w:left w:val="nil"/>
              <w:bottom w:val="nil"/>
              <w:right w:val="nil"/>
            </w:tcBorders>
            <w:shd w:val="clear" w:color="auto" w:fill="auto"/>
            <w:vAlign w:val="center"/>
          </w:tcPr>
          <w:p w14:paraId="04344762" w14:textId="5838DBE0"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1.28%</w:t>
            </w:r>
          </w:p>
        </w:tc>
        <w:tc>
          <w:tcPr>
            <w:tcW w:w="1238" w:type="dxa"/>
            <w:tcBorders>
              <w:top w:val="nil"/>
              <w:left w:val="nil"/>
              <w:bottom w:val="nil"/>
              <w:right w:val="nil"/>
            </w:tcBorders>
            <w:shd w:val="clear" w:color="auto" w:fill="auto"/>
            <w:vAlign w:val="center"/>
          </w:tcPr>
          <w:p w14:paraId="64A33365" w14:textId="1858133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12AE6134"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6F5CDB34" w14:textId="46D3B61F"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single" w:sz="4" w:space="0" w:color="auto"/>
              <w:right w:val="nil"/>
            </w:tcBorders>
            <w:shd w:val="clear" w:color="auto" w:fill="auto"/>
            <w:vAlign w:val="center"/>
          </w:tcPr>
          <w:p w14:paraId="5852493C"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single" w:sz="4" w:space="0" w:color="auto"/>
              <w:right w:val="nil"/>
            </w:tcBorders>
            <w:shd w:val="clear" w:color="auto" w:fill="auto"/>
            <w:vAlign w:val="center"/>
          </w:tcPr>
          <w:p w14:paraId="67D067DF"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single" w:sz="4" w:space="0" w:color="auto"/>
              <w:right w:val="nil"/>
            </w:tcBorders>
            <w:shd w:val="clear" w:color="auto" w:fill="auto"/>
            <w:vAlign w:val="center"/>
          </w:tcPr>
          <w:p w14:paraId="412DD77D"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single" w:sz="4" w:space="0" w:color="auto"/>
              <w:right w:val="nil"/>
            </w:tcBorders>
            <w:shd w:val="clear" w:color="auto" w:fill="auto"/>
            <w:vAlign w:val="center"/>
          </w:tcPr>
          <w:p w14:paraId="16B0AB75"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167F99" w:rsidRPr="001C277A" w14:paraId="0E0D45BB"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36E6299D" w14:textId="2E38D6D9"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Northern Bond Index</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02/07)</w:t>
            </w:r>
          </w:p>
        </w:tc>
        <w:tc>
          <w:tcPr>
            <w:tcW w:w="878" w:type="dxa"/>
            <w:tcBorders>
              <w:top w:val="single" w:sz="4" w:space="0" w:color="auto"/>
              <w:left w:val="nil"/>
              <w:bottom w:val="nil"/>
              <w:right w:val="nil"/>
            </w:tcBorders>
            <w:shd w:val="clear" w:color="auto" w:fill="D9D9D9" w:themeFill="background1" w:themeFillShade="D9"/>
            <w:vAlign w:val="center"/>
          </w:tcPr>
          <w:p w14:paraId="36D74580" w14:textId="55971A5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1.60%</w:t>
            </w:r>
          </w:p>
        </w:tc>
        <w:tc>
          <w:tcPr>
            <w:tcW w:w="821" w:type="dxa"/>
            <w:tcBorders>
              <w:top w:val="single" w:sz="4" w:space="0" w:color="auto"/>
              <w:left w:val="nil"/>
              <w:bottom w:val="nil"/>
              <w:right w:val="nil"/>
            </w:tcBorders>
            <w:shd w:val="clear" w:color="auto" w:fill="D9D9D9" w:themeFill="background1" w:themeFillShade="D9"/>
            <w:vAlign w:val="center"/>
          </w:tcPr>
          <w:p w14:paraId="7B9214B1" w14:textId="20DAA82B"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0.28%</w:t>
            </w:r>
          </w:p>
        </w:tc>
        <w:tc>
          <w:tcPr>
            <w:tcW w:w="878" w:type="dxa"/>
            <w:tcBorders>
              <w:top w:val="single" w:sz="4" w:space="0" w:color="auto"/>
              <w:left w:val="nil"/>
              <w:bottom w:val="nil"/>
              <w:right w:val="nil"/>
            </w:tcBorders>
            <w:shd w:val="clear" w:color="auto" w:fill="D9D9D9" w:themeFill="background1" w:themeFillShade="D9"/>
            <w:vAlign w:val="center"/>
          </w:tcPr>
          <w:p w14:paraId="2E30B84C" w14:textId="7F72394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1.43%</w:t>
            </w:r>
          </w:p>
        </w:tc>
        <w:tc>
          <w:tcPr>
            <w:tcW w:w="1238" w:type="dxa"/>
            <w:tcBorders>
              <w:top w:val="single" w:sz="4" w:space="0" w:color="auto"/>
              <w:left w:val="nil"/>
              <w:bottom w:val="nil"/>
              <w:right w:val="nil"/>
            </w:tcBorders>
            <w:shd w:val="clear" w:color="auto" w:fill="D9D9D9" w:themeFill="background1" w:themeFillShade="D9"/>
            <w:vAlign w:val="center"/>
          </w:tcPr>
          <w:p w14:paraId="1E1B07F7" w14:textId="5C0D74AC"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2.75%</w:t>
            </w:r>
          </w:p>
        </w:tc>
      </w:tr>
      <w:tr w:rsidR="00167F99" w:rsidRPr="001C277A" w14:paraId="44A6CE63"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19605EB9" w14:textId="4E489610"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Morningstar US Core Bd TR USD</w:t>
            </w:r>
          </w:p>
        </w:tc>
        <w:tc>
          <w:tcPr>
            <w:tcW w:w="878" w:type="dxa"/>
            <w:tcBorders>
              <w:top w:val="nil"/>
              <w:left w:val="nil"/>
              <w:bottom w:val="nil"/>
              <w:right w:val="nil"/>
            </w:tcBorders>
            <w:shd w:val="clear" w:color="auto" w:fill="D9D9D9" w:themeFill="background1" w:themeFillShade="D9"/>
            <w:vAlign w:val="center"/>
          </w:tcPr>
          <w:p w14:paraId="211E9A8D" w14:textId="51B1C571"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1.56%</w:t>
            </w:r>
          </w:p>
        </w:tc>
        <w:tc>
          <w:tcPr>
            <w:tcW w:w="821" w:type="dxa"/>
            <w:tcBorders>
              <w:top w:val="nil"/>
              <w:left w:val="nil"/>
              <w:bottom w:val="nil"/>
              <w:right w:val="nil"/>
            </w:tcBorders>
            <w:shd w:val="clear" w:color="auto" w:fill="D9D9D9" w:themeFill="background1" w:themeFillShade="D9"/>
            <w:vAlign w:val="center"/>
          </w:tcPr>
          <w:p w14:paraId="2E1BE7AB" w14:textId="2BF073E4"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0.31%</w:t>
            </w:r>
          </w:p>
        </w:tc>
        <w:tc>
          <w:tcPr>
            <w:tcW w:w="878" w:type="dxa"/>
            <w:tcBorders>
              <w:top w:val="nil"/>
              <w:left w:val="nil"/>
              <w:bottom w:val="nil"/>
              <w:right w:val="nil"/>
            </w:tcBorders>
            <w:shd w:val="clear" w:color="auto" w:fill="D9D9D9" w:themeFill="background1" w:themeFillShade="D9"/>
            <w:vAlign w:val="center"/>
          </w:tcPr>
          <w:p w14:paraId="7F9359CB" w14:textId="429AC4A0"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1.49%</w:t>
            </w:r>
          </w:p>
        </w:tc>
        <w:tc>
          <w:tcPr>
            <w:tcW w:w="1238" w:type="dxa"/>
            <w:tcBorders>
              <w:top w:val="nil"/>
              <w:left w:val="nil"/>
              <w:bottom w:val="nil"/>
              <w:right w:val="nil"/>
            </w:tcBorders>
            <w:shd w:val="clear" w:color="auto" w:fill="D9D9D9" w:themeFill="background1" w:themeFillShade="D9"/>
            <w:vAlign w:val="center"/>
          </w:tcPr>
          <w:p w14:paraId="52E8B64F" w14:textId="4675FCF3"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7D4FA14"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3E3B28BD" w14:textId="708AB5E4"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nil"/>
              <w:right w:val="nil"/>
            </w:tcBorders>
            <w:shd w:val="clear" w:color="auto" w:fill="D9D9D9" w:themeFill="background1" w:themeFillShade="D9"/>
            <w:vAlign w:val="center"/>
          </w:tcPr>
          <w:p w14:paraId="7E96A1D7"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nil"/>
              <w:right w:val="nil"/>
            </w:tcBorders>
            <w:shd w:val="clear" w:color="auto" w:fill="D9D9D9" w:themeFill="background1" w:themeFillShade="D9"/>
            <w:vAlign w:val="center"/>
          </w:tcPr>
          <w:p w14:paraId="73CBA45F"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nil"/>
              <w:right w:val="nil"/>
            </w:tcBorders>
            <w:shd w:val="clear" w:color="auto" w:fill="D9D9D9" w:themeFill="background1" w:themeFillShade="D9"/>
            <w:vAlign w:val="center"/>
          </w:tcPr>
          <w:p w14:paraId="666DC6AC"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nil"/>
              <w:right w:val="nil"/>
            </w:tcBorders>
            <w:shd w:val="clear" w:color="auto" w:fill="D9D9D9" w:themeFill="background1" w:themeFillShade="D9"/>
            <w:vAlign w:val="center"/>
          </w:tcPr>
          <w:p w14:paraId="1C6B9F8F"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167F99" w:rsidRPr="001C277A" w14:paraId="22A635E5" w14:textId="77777777" w:rsidTr="00CA5932">
        <w:trPr>
          <w:trHeight w:hRule="exact" w:val="320"/>
        </w:trPr>
        <w:tc>
          <w:tcPr>
            <w:tcW w:w="5659" w:type="dxa"/>
            <w:tcBorders>
              <w:top w:val="nil"/>
              <w:left w:val="nil"/>
              <w:bottom w:val="single" w:sz="4" w:space="0" w:color="auto"/>
              <w:right w:val="nil"/>
            </w:tcBorders>
            <w:shd w:val="clear" w:color="auto" w:fill="000000"/>
            <w:vAlign w:val="center"/>
          </w:tcPr>
          <w:p w14:paraId="065872DE" w14:textId="5D6E4451"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r w:rsidRPr="001C277A">
              <w:rPr>
                <w:rFonts w:ascii="Arial Narrow" w:hAnsi="Arial Narrow" w:cs="Arial"/>
                <w:b/>
                <w:color w:val="FFFFFF"/>
                <w:sz w:val="18"/>
                <w:szCs w:val="20"/>
              </w:rPr>
              <w:t>Other Funds</w:t>
            </w:r>
          </w:p>
        </w:tc>
        <w:tc>
          <w:tcPr>
            <w:tcW w:w="878" w:type="dxa"/>
            <w:tcBorders>
              <w:top w:val="nil"/>
              <w:left w:val="nil"/>
              <w:bottom w:val="single" w:sz="4" w:space="0" w:color="auto"/>
              <w:right w:val="nil"/>
            </w:tcBorders>
            <w:shd w:val="clear" w:color="auto" w:fill="000000"/>
            <w:vAlign w:val="center"/>
          </w:tcPr>
          <w:p w14:paraId="0A3B565D"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821" w:type="dxa"/>
            <w:tcBorders>
              <w:top w:val="nil"/>
              <w:left w:val="nil"/>
              <w:bottom w:val="single" w:sz="4" w:space="0" w:color="auto"/>
              <w:right w:val="nil"/>
            </w:tcBorders>
            <w:shd w:val="clear" w:color="auto" w:fill="000000"/>
            <w:vAlign w:val="center"/>
          </w:tcPr>
          <w:p w14:paraId="216CEB9A"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878" w:type="dxa"/>
            <w:tcBorders>
              <w:top w:val="nil"/>
              <w:left w:val="nil"/>
              <w:bottom w:val="single" w:sz="4" w:space="0" w:color="auto"/>
              <w:right w:val="nil"/>
            </w:tcBorders>
            <w:shd w:val="clear" w:color="auto" w:fill="000000"/>
            <w:vAlign w:val="center"/>
          </w:tcPr>
          <w:p w14:paraId="6A97472A"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c>
          <w:tcPr>
            <w:tcW w:w="1238" w:type="dxa"/>
            <w:tcBorders>
              <w:top w:val="nil"/>
              <w:left w:val="nil"/>
              <w:bottom w:val="single" w:sz="4" w:space="0" w:color="auto"/>
              <w:right w:val="nil"/>
            </w:tcBorders>
            <w:shd w:val="clear" w:color="auto" w:fill="000000"/>
            <w:vAlign w:val="center"/>
          </w:tcPr>
          <w:p w14:paraId="4891F664" w14:textId="77777777" w:rsidR="00167F99" w:rsidRPr="001C277A" w:rsidRDefault="00167F99" w:rsidP="00167F99">
            <w:pPr>
              <w:autoSpaceDE w:val="0"/>
              <w:autoSpaceDN w:val="0"/>
              <w:adjustRightInd w:val="0"/>
              <w:spacing w:after="120" w:line="240" w:lineRule="auto"/>
              <w:rPr>
                <w:rFonts w:ascii="Arial Narrow" w:hAnsi="Arial Narrow" w:cs="Arial"/>
                <w:b/>
                <w:color w:val="FFFFFF"/>
                <w:sz w:val="18"/>
                <w:szCs w:val="20"/>
              </w:rPr>
            </w:pPr>
          </w:p>
        </w:tc>
      </w:tr>
      <w:tr w:rsidR="00167F99" w:rsidRPr="001C277A" w14:paraId="44D6F81E" w14:textId="77777777" w:rsidTr="00CA5932">
        <w:trPr>
          <w:trHeight w:hRule="exact" w:val="230"/>
        </w:trPr>
        <w:tc>
          <w:tcPr>
            <w:tcW w:w="5659" w:type="dxa"/>
            <w:tcBorders>
              <w:top w:val="single" w:sz="4" w:space="0" w:color="auto"/>
              <w:left w:val="nil"/>
              <w:bottom w:val="nil"/>
              <w:right w:val="nil"/>
            </w:tcBorders>
            <w:shd w:val="clear" w:color="auto" w:fill="auto"/>
            <w:vAlign w:val="center"/>
          </w:tcPr>
          <w:p w14:paraId="3294432A" w14:textId="05F9655A"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Parametric Commodity Strategy I</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05/11)</w:t>
            </w:r>
          </w:p>
        </w:tc>
        <w:tc>
          <w:tcPr>
            <w:tcW w:w="878" w:type="dxa"/>
            <w:tcBorders>
              <w:top w:val="single" w:sz="4" w:space="0" w:color="auto"/>
              <w:left w:val="nil"/>
              <w:bottom w:val="nil"/>
              <w:right w:val="nil"/>
            </w:tcBorders>
            <w:shd w:val="clear" w:color="auto" w:fill="auto"/>
            <w:vAlign w:val="center"/>
          </w:tcPr>
          <w:p w14:paraId="7CE180D0" w14:textId="4BB1E7FD"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3.02%</w:t>
            </w:r>
          </w:p>
        </w:tc>
        <w:tc>
          <w:tcPr>
            <w:tcW w:w="821" w:type="dxa"/>
            <w:tcBorders>
              <w:top w:val="single" w:sz="4" w:space="0" w:color="auto"/>
              <w:left w:val="nil"/>
              <w:bottom w:val="nil"/>
              <w:right w:val="nil"/>
            </w:tcBorders>
            <w:shd w:val="clear" w:color="auto" w:fill="auto"/>
            <w:vAlign w:val="center"/>
          </w:tcPr>
          <w:p w14:paraId="7217B49B" w14:textId="031DBAE4"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11.31%</w:t>
            </w:r>
          </w:p>
        </w:tc>
        <w:tc>
          <w:tcPr>
            <w:tcW w:w="878" w:type="dxa"/>
            <w:tcBorders>
              <w:top w:val="single" w:sz="4" w:space="0" w:color="auto"/>
              <w:left w:val="nil"/>
              <w:bottom w:val="nil"/>
              <w:right w:val="nil"/>
            </w:tcBorders>
            <w:shd w:val="clear" w:color="auto" w:fill="auto"/>
            <w:vAlign w:val="center"/>
          </w:tcPr>
          <w:p w14:paraId="127880B1" w14:textId="2697787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2.39%</w:t>
            </w:r>
          </w:p>
        </w:tc>
        <w:tc>
          <w:tcPr>
            <w:tcW w:w="1238" w:type="dxa"/>
            <w:tcBorders>
              <w:top w:val="single" w:sz="4" w:space="0" w:color="auto"/>
              <w:left w:val="nil"/>
              <w:bottom w:val="nil"/>
              <w:right w:val="nil"/>
            </w:tcBorders>
            <w:shd w:val="clear" w:color="auto" w:fill="auto"/>
            <w:vAlign w:val="center"/>
          </w:tcPr>
          <w:p w14:paraId="33EDCCCF" w14:textId="1BF583EB"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0.41%</w:t>
            </w:r>
          </w:p>
        </w:tc>
      </w:tr>
      <w:tr w:rsidR="00167F99" w:rsidRPr="001C277A" w14:paraId="6E30CD3D" w14:textId="77777777" w:rsidTr="00CA5932">
        <w:trPr>
          <w:trHeight w:hRule="exact" w:val="230"/>
        </w:trPr>
        <w:tc>
          <w:tcPr>
            <w:tcW w:w="5659" w:type="dxa"/>
            <w:tcBorders>
              <w:top w:val="nil"/>
              <w:left w:val="nil"/>
              <w:bottom w:val="nil"/>
              <w:right w:val="nil"/>
            </w:tcBorders>
            <w:shd w:val="clear" w:color="auto" w:fill="auto"/>
            <w:vAlign w:val="center"/>
          </w:tcPr>
          <w:p w14:paraId="2D5352B4" w14:textId="613E9172"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 xml:space="preserve">Morningstar </w:t>
            </w:r>
            <w:proofErr w:type="spellStart"/>
            <w:r w:rsidRPr="001C277A">
              <w:rPr>
                <w:rFonts w:ascii="Arial Narrow" w:hAnsi="Arial Narrow" w:cs="Arial"/>
                <w:sz w:val="18"/>
                <w:szCs w:val="20"/>
              </w:rPr>
              <w:t>Gbl</w:t>
            </w:r>
            <w:proofErr w:type="spellEnd"/>
            <w:r w:rsidRPr="001C277A">
              <w:rPr>
                <w:rFonts w:ascii="Arial Narrow" w:hAnsi="Arial Narrow" w:cs="Arial"/>
                <w:sz w:val="18"/>
                <w:szCs w:val="20"/>
              </w:rPr>
              <w:t xml:space="preserve"> </w:t>
            </w:r>
            <w:proofErr w:type="spellStart"/>
            <w:r w:rsidRPr="001C277A">
              <w:rPr>
                <w:rFonts w:ascii="Arial Narrow" w:hAnsi="Arial Narrow" w:cs="Arial"/>
                <w:sz w:val="18"/>
                <w:szCs w:val="20"/>
              </w:rPr>
              <w:t>Upstm</w:t>
            </w:r>
            <w:proofErr w:type="spellEnd"/>
            <w:r w:rsidRPr="001C277A">
              <w:rPr>
                <w:rFonts w:ascii="Arial Narrow" w:hAnsi="Arial Narrow" w:cs="Arial"/>
                <w:sz w:val="18"/>
                <w:szCs w:val="20"/>
              </w:rPr>
              <w:t xml:space="preserve"> Nat Res NR USD</w:t>
            </w:r>
          </w:p>
        </w:tc>
        <w:tc>
          <w:tcPr>
            <w:tcW w:w="878" w:type="dxa"/>
            <w:tcBorders>
              <w:top w:val="nil"/>
              <w:left w:val="nil"/>
              <w:bottom w:val="nil"/>
              <w:right w:val="nil"/>
            </w:tcBorders>
            <w:shd w:val="clear" w:color="auto" w:fill="auto"/>
            <w:vAlign w:val="center"/>
          </w:tcPr>
          <w:p w14:paraId="70987CDC" w14:textId="385EBF05"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1.05%</w:t>
            </w:r>
          </w:p>
        </w:tc>
        <w:tc>
          <w:tcPr>
            <w:tcW w:w="821" w:type="dxa"/>
            <w:tcBorders>
              <w:top w:val="nil"/>
              <w:left w:val="nil"/>
              <w:bottom w:val="nil"/>
              <w:right w:val="nil"/>
            </w:tcBorders>
            <w:shd w:val="clear" w:color="auto" w:fill="auto"/>
            <w:vAlign w:val="center"/>
          </w:tcPr>
          <w:p w14:paraId="24FAE9FA" w14:textId="25D2FF48"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9.10%</w:t>
            </w:r>
          </w:p>
        </w:tc>
        <w:tc>
          <w:tcPr>
            <w:tcW w:w="878" w:type="dxa"/>
            <w:tcBorders>
              <w:top w:val="nil"/>
              <w:left w:val="nil"/>
              <w:bottom w:val="nil"/>
              <w:right w:val="nil"/>
            </w:tcBorders>
            <w:shd w:val="clear" w:color="auto" w:fill="auto"/>
            <w:vAlign w:val="center"/>
          </w:tcPr>
          <w:p w14:paraId="48EEDE95" w14:textId="2A98262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5.55%</w:t>
            </w:r>
          </w:p>
        </w:tc>
        <w:tc>
          <w:tcPr>
            <w:tcW w:w="1238" w:type="dxa"/>
            <w:tcBorders>
              <w:top w:val="nil"/>
              <w:left w:val="nil"/>
              <w:bottom w:val="nil"/>
              <w:right w:val="nil"/>
            </w:tcBorders>
            <w:shd w:val="clear" w:color="auto" w:fill="auto"/>
            <w:vAlign w:val="center"/>
          </w:tcPr>
          <w:p w14:paraId="0EDDCDE7" w14:textId="29FD6EF4"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A5AE273" w14:textId="77777777" w:rsidTr="00CA5932">
        <w:trPr>
          <w:trHeight w:hRule="exact" w:val="230"/>
        </w:trPr>
        <w:tc>
          <w:tcPr>
            <w:tcW w:w="5659" w:type="dxa"/>
            <w:tcBorders>
              <w:top w:val="nil"/>
              <w:left w:val="nil"/>
              <w:bottom w:val="single" w:sz="4" w:space="0" w:color="auto"/>
              <w:right w:val="nil"/>
            </w:tcBorders>
            <w:shd w:val="clear" w:color="auto" w:fill="auto"/>
            <w:vAlign w:val="center"/>
          </w:tcPr>
          <w:p w14:paraId="34E3DF4D" w14:textId="7BAE11DE"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single" w:sz="4" w:space="0" w:color="auto"/>
              <w:right w:val="nil"/>
            </w:tcBorders>
            <w:shd w:val="clear" w:color="auto" w:fill="auto"/>
            <w:vAlign w:val="center"/>
          </w:tcPr>
          <w:p w14:paraId="24FA665D"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single" w:sz="4" w:space="0" w:color="auto"/>
              <w:right w:val="nil"/>
            </w:tcBorders>
            <w:shd w:val="clear" w:color="auto" w:fill="auto"/>
            <w:vAlign w:val="center"/>
          </w:tcPr>
          <w:p w14:paraId="3535CC03"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single" w:sz="4" w:space="0" w:color="auto"/>
              <w:right w:val="nil"/>
            </w:tcBorders>
            <w:shd w:val="clear" w:color="auto" w:fill="auto"/>
            <w:vAlign w:val="center"/>
          </w:tcPr>
          <w:p w14:paraId="6BE05AD7"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single" w:sz="4" w:space="0" w:color="auto"/>
              <w:right w:val="nil"/>
            </w:tcBorders>
            <w:shd w:val="clear" w:color="auto" w:fill="auto"/>
            <w:vAlign w:val="center"/>
          </w:tcPr>
          <w:p w14:paraId="1909DC73"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r w:rsidR="00CA5932" w:rsidRPr="001C277A" w14:paraId="6499B5AC" w14:textId="77777777" w:rsidTr="00CA5932">
        <w:tc>
          <w:tcPr>
            <w:tcW w:w="5659" w:type="dxa"/>
            <w:tcBorders>
              <w:bottom w:val="nil"/>
            </w:tcBorders>
            <w:shd w:val="clear" w:color="auto" w:fill="auto"/>
            <w:vAlign w:val="center"/>
          </w:tcPr>
          <w:p w14:paraId="4C4AEA7B"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lastRenderedPageBreak/>
              <w:t>Investment Options</w:t>
            </w:r>
          </w:p>
        </w:tc>
        <w:tc>
          <w:tcPr>
            <w:tcW w:w="3815" w:type="dxa"/>
            <w:gridSpan w:val="4"/>
            <w:shd w:val="clear" w:color="auto" w:fill="auto"/>
            <w:vAlign w:val="center"/>
          </w:tcPr>
          <w:p w14:paraId="711242CD"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Average annual total return as of 3/31/2024</w:t>
            </w:r>
          </w:p>
        </w:tc>
      </w:tr>
      <w:tr w:rsidR="00CA5932" w:rsidRPr="001C277A" w14:paraId="1A1FF4A2" w14:textId="77777777" w:rsidTr="00CA5932">
        <w:tc>
          <w:tcPr>
            <w:tcW w:w="5659" w:type="dxa"/>
            <w:tcBorders>
              <w:top w:val="nil"/>
              <w:bottom w:val="nil"/>
            </w:tcBorders>
            <w:shd w:val="clear" w:color="auto" w:fill="auto"/>
          </w:tcPr>
          <w:p w14:paraId="77DB636B" w14:textId="77777777" w:rsidR="00CA5932" w:rsidRPr="001C277A" w:rsidRDefault="00CA5932" w:rsidP="00923B68">
            <w:pPr>
              <w:autoSpaceDE w:val="0"/>
              <w:autoSpaceDN w:val="0"/>
              <w:adjustRightInd w:val="0"/>
              <w:spacing w:after="120" w:line="240" w:lineRule="auto"/>
              <w:jc w:val="both"/>
              <w:rPr>
                <w:rFonts w:cs="Arial"/>
                <w:color w:val="000000"/>
                <w:sz w:val="20"/>
                <w:szCs w:val="20"/>
              </w:rPr>
            </w:pPr>
          </w:p>
        </w:tc>
        <w:tc>
          <w:tcPr>
            <w:tcW w:w="878" w:type="dxa"/>
            <w:shd w:val="clear" w:color="auto" w:fill="auto"/>
            <w:vAlign w:val="center"/>
          </w:tcPr>
          <w:p w14:paraId="3681FB34"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1-yr.</w:t>
            </w:r>
          </w:p>
        </w:tc>
        <w:tc>
          <w:tcPr>
            <w:tcW w:w="821" w:type="dxa"/>
            <w:shd w:val="clear" w:color="auto" w:fill="auto"/>
            <w:vAlign w:val="center"/>
          </w:tcPr>
          <w:p w14:paraId="338ED322"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5-yr.</w:t>
            </w:r>
          </w:p>
        </w:tc>
        <w:tc>
          <w:tcPr>
            <w:tcW w:w="878" w:type="dxa"/>
            <w:shd w:val="clear" w:color="auto" w:fill="auto"/>
            <w:vAlign w:val="center"/>
          </w:tcPr>
          <w:p w14:paraId="09467FA5"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10-yr.</w:t>
            </w:r>
          </w:p>
        </w:tc>
        <w:tc>
          <w:tcPr>
            <w:tcW w:w="1238" w:type="dxa"/>
            <w:shd w:val="clear" w:color="auto" w:fill="auto"/>
            <w:vAlign w:val="center"/>
          </w:tcPr>
          <w:p w14:paraId="709B8A92" w14:textId="77777777" w:rsidR="00CA5932" w:rsidRPr="001C277A" w:rsidRDefault="00CA5932" w:rsidP="00923B68">
            <w:pPr>
              <w:autoSpaceDE w:val="0"/>
              <w:autoSpaceDN w:val="0"/>
              <w:adjustRightInd w:val="0"/>
              <w:spacing w:after="12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Since inception</w:t>
            </w:r>
          </w:p>
        </w:tc>
      </w:tr>
      <w:tr w:rsidR="00CA5932" w:rsidRPr="001C277A" w14:paraId="11FD5B2F" w14:textId="77777777" w:rsidTr="00CA5932">
        <w:trPr>
          <w:trHeight w:val="320"/>
        </w:trPr>
        <w:tc>
          <w:tcPr>
            <w:tcW w:w="5659" w:type="dxa"/>
            <w:tcBorders>
              <w:top w:val="nil"/>
              <w:bottom w:val="single" w:sz="4" w:space="0" w:color="auto"/>
            </w:tcBorders>
            <w:shd w:val="clear" w:color="auto" w:fill="000000"/>
            <w:vAlign w:val="center"/>
          </w:tcPr>
          <w:p w14:paraId="56F8AC6A" w14:textId="76F072F9" w:rsidR="00CA5932" w:rsidRPr="001C277A" w:rsidRDefault="00CA5932" w:rsidP="00923B68">
            <w:pPr>
              <w:autoSpaceDE w:val="0"/>
              <w:autoSpaceDN w:val="0"/>
              <w:adjustRightInd w:val="0"/>
              <w:spacing w:after="120" w:line="240" w:lineRule="auto"/>
              <w:rPr>
                <w:rFonts w:ascii="Arial Narrow" w:hAnsi="Arial Narrow" w:cs="Arial"/>
                <w:b/>
                <w:color w:val="FFFFFF"/>
                <w:sz w:val="18"/>
                <w:szCs w:val="20"/>
              </w:rPr>
            </w:pPr>
            <w:r w:rsidRPr="001C277A">
              <w:rPr>
                <w:rFonts w:ascii="Arial Narrow" w:hAnsi="Arial Narrow" w:cs="Arial"/>
                <w:b/>
                <w:color w:val="FFFFFF"/>
                <w:sz w:val="18"/>
                <w:szCs w:val="20"/>
              </w:rPr>
              <w:t>Other Funds (continued)</w:t>
            </w:r>
          </w:p>
        </w:tc>
        <w:tc>
          <w:tcPr>
            <w:tcW w:w="878" w:type="dxa"/>
            <w:tcBorders>
              <w:bottom w:val="single" w:sz="4" w:space="0" w:color="auto"/>
            </w:tcBorders>
            <w:shd w:val="clear" w:color="auto" w:fill="000000"/>
            <w:vAlign w:val="center"/>
          </w:tcPr>
          <w:p w14:paraId="1CFB35E0" w14:textId="77777777" w:rsidR="00CA5932" w:rsidRPr="001C277A" w:rsidRDefault="00CA5932" w:rsidP="00923B68">
            <w:pPr>
              <w:autoSpaceDE w:val="0"/>
              <w:autoSpaceDN w:val="0"/>
              <w:adjustRightInd w:val="0"/>
              <w:spacing w:after="120" w:line="240" w:lineRule="auto"/>
              <w:rPr>
                <w:rFonts w:ascii="Arial Narrow" w:hAnsi="Arial Narrow" w:cs="Arial"/>
                <w:b/>
                <w:color w:val="FFFFFF"/>
                <w:sz w:val="18"/>
                <w:szCs w:val="20"/>
              </w:rPr>
            </w:pPr>
          </w:p>
        </w:tc>
        <w:tc>
          <w:tcPr>
            <w:tcW w:w="821" w:type="dxa"/>
            <w:tcBorders>
              <w:bottom w:val="single" w:sz="4" w:space="0" w:color="auto"/>
            </w:tcBorders>
            <w:shd w:val="clear" w:color="auto" w:fill="000000"/>
            <w:vAlign w:val="center"/>
          </w:tcPr>
          <w:p w14:paraId="6C4EA445" w14:textId="77777777" w:rsidR="00CA5932" w:rsidRPr="001C277A" w:rsidRDefault="00CA5932" w:rsidP="00923B68">
            <w:pPr>
              <w:autoSpaceDE w:val="0"/>
              <w:autoSpaceDN w:val="0"/>
              <w:adjustRightInd w:val="0"/>
              <w:spacing w:after="120" w:line="240" w:lineRule="auto"/>
              <w:rPr>
                <w:rFonts w:ascii="Arial Narrow" w:hAnsi="Arial Narrow" w:cs="Arial"/>
                <w:b/>
                <w:color w:val="FFFFFF"/>
                <w:sz w:val="18"/>
                <w:szCs w:val="20"/>
              </w:rPr>
            </w:pPr>
          </w:p>
        </w:tc>
        <w:tc>
          <w:tcPr>
            <w:tcW w:w="878" w:type="dxa"/>
            <w:tcBorders>
              <w:bottom w:val="single" w:sz="4" w:space="0" w:color="auto"/>
            </w:tcBorders>
            <w:shd w:val="clear" w:color="auto" w:fill="000000"/>
            <w:vAlign w:val="center"/>
          </w:tcPr>
          <w:p w14:paraId="2000D95D" w14:textId="77777777" w:rsidR="00CA5932" w:rsidRPr="001C277A" w:rsidRDefault="00CA5932" w:rsidP="00923B68">
            <w:pPr>
              <w:autoSpaceDE w:val="0"/>
              <w:autoSpaceDN w:val="0"/>
              <w:adjustRightInd w:val="0"/>
              <w:spacing w:after="120" w:line="240" w:lineRule="auto"/>
              <w:rPr>
                <w:rFonts w:ascii="Arial Narrow" w:hAnsi="Arial Narrow" w:cs="Arial"/>
                <w:b/>
                <w:color w:val="FFFFFF"/>
                <w:sz w:val="18"/>
                <w:szCs w:val="20"/>
              </w:rPr>
            </w:pPr>
          </w:p>
        </w:tc>
        <w:tc>
          <w:tcPr>
            <w:tcW w:w="1238" w:type="dxa"/>
            <w:tcBorders>
              <w:bottom w:val="single" w:sz="4" w:space="0" w:color="auto"/>
            </w:tcBorders>
            <w:shd w:val="clear" w:color="auto" w:fill="000000"/>
            <w:vAlign w:val="center"/>
          </w:tcPr>
          <w:p w14:paraId="5B9F86A5" w14:textId="77777777" w:rsidR="00CA5932" w:rsidRPr="001C277A" w:rsidRDefault="00CA5932" w:rsidP="00923B68">
            <w:pPr>
              <w:autoSpaceDE w:val="0"/>
              <w:autoSpaceDN w:val="0"/>
              <w:adjustRightInd w:val="0"/>
              <w:spacing w:after="120" w:line="240" w:lineRule="auto"/>
              <w:rPr>
                <w:rFonts w:ascii="Arial Narrow" w:hAnsi="Arial Narrow" w:cs="Arial"/>
                <w:b/>
                <w:color w:val="FFFFFF"/>
                <w:sz w:val="18"/>
                <w:szCs w:val="20"/>
              </w:rPr>
            </w:pPr>
          </w:p>
        </w:tc>
      </w:tr>
      <w:tr w:rsidR="00167F99" w:rsidRPr="001C277A" w14:paraId="0BB94CC8" w14:textId="77777777" w:rsidTr="00CA5932">
        <w:trPr>
          <w:trHeight w:hRule="exact" w:val="230"/>
        </w:trPr>
        <w:tc>
          <w:tcPr>
            <w:tcW w:w="5659" w:type="dxa"/>
            <w:tcBorders>
              <w:top w:val="single" w:sz="4" w:space="0" w:color="auto"/>
              <w:left w:val="nil"/>
              <w:bottom w:val="nil"/>
              <w:right w:val="nil"/>
            </w:tcBorders>
            <w:shd w:val="clear" w:color="auto" w:fill="D9D9D9" w:themeFill="background1" w:themeFillShade="D9"/>
            <w:vAlign w:val="center"/>
          </w:tcPr>
          <w:p w14:paraId="130EE8BA" w14:textId="5EC33F70"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b/>
                <w:sz w:val="18"/>
                <w:szCs w:val="20"/>
              </w:rPr>
              <w:t>PIMCO Real Estate Real Return Strategy I</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10/03)</w:t>
            </w:r>
          </w:p>
        </w:tc>
        <w:tc>
          <w:tcPr>
            <w:tcW w:w="878" w:type="dxa"/>
            <w:tcBorders>
              <w:top w:val="single" w:sz="4" w:space="0" w:color="auto"/>
              <w:left w:val="nil"/>
              <w:bottom w:val="nil"/>
              <w:right w:val="nil"/>
            </w:tcBorders>
            <w:shd w:val="clear" w:color="auto" w:fill="D9D9D9" w:themeFill="background1" w:themeFillShade="D9"/>
            <w:vAlign w:val="center"/>
          </w:tcPr>
          <w:p w14:paraId="3E02EFCE" w14:textId="0365A10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7.33%</w:t>
            </w:r>
          </w:p>
        </w:tc>
        <w:tc>
          <w:tcPr>
            <w:tcW w:w="821" w:type="dxa"/>
            <w:tcBorders>
              <w:top w:val="single" w:sz="4" w:space="0" w:color="auto"/>
              <w:left w:val="nil"/>
              <w:bottom w:val="nil"/>
              <w:right w:val="nil"/>
            </w:tcBorders>
            <w:shd w:val="clear" w:color="auto" w:fill="D9D9D9" w:themeFill="background1" w:themeFillShade="D9"/>
            <w:vAlign w:val="center"/>
          </w:tcPr>
          <w:p w14:paraId="11B674B6" w14:textId="6CDF4E40"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5.09%</w:t>
            </w:r>
          </w:p>
        </w:tc>
        <w:tc>
          <w:tcPr>
            <w:tcW w:w="878" w:type="dxa"/>
            <w:tcBorders>
              <w:top w:val="single" w:sz="4" w:space="0" w:color="auto"/>
              <w:left w:val="nil"/>
              <w:bottom w:val="nil"/>
              <w:right w:val="nil"/>
            </w:tcBorders>
            <w:shd w:val="clear" w:color="auto" w:fill="D9D9D9" w:themeFill="background1" w:themeFillShade="D9"/>
            <w:vAlign w:val="center"/>
          </w:tcPr>
          <w:p w14:paraId="1FA83533" w14:textId="4DC9DCB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7.42%</w:t>
            </w:r>
          </w:p>
        </w:tc>
        <w:tc>
          <w:tcPr>
            <w:tcW w:w="1238" w:type="dxa"/>
            <w:tcBorders>
              <w:top w:val="single" w:sz="4" w:space="0" w:color="auto"/>
              <w:left w:val="nil"/>
              <w:bottom w:val="nil"/>
              <w:right w:val="nil"/>
            </w:tcBorders>
            <w:shd w:val="clear" w:color="auto" w:fill="D9D9D9" w:themeFill="background1" w:themeFillShade="D9"/>
            <w:vAlign w:val="center"/>
          </w:tcPr>
          <w:p w14:paraId="130D9928" w14:textId="542649A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10.27%</w:t>
            </w:r>
          </w:p>
        </w:tc>
      </w:tr>
      <w:tr w:rsidR="00167F99" w:rsidRPr="001C277A" w14:paraId="36C3EB5D" w14:textId="77777777" w:rsidTr="00CA5932">
        <w:trPr>
          <w:trHeight w:hRule="exact" w:val="230"/>
        </w:trPr>
        <w:tc>
          <w:tcPr>
            <w:tcW w:w="5659" w:type="dxa"/>
            <w:tcBorders>
              <w:top w:val="nil"/>
              <w:left w:val="nil"/>
              <w:bottom w:val="nil"/>
              <w:right w:val="nil"/>
            </w:tcBorders>
            <w:shd w:val="clear" w:color="auto" w:fill="D9D9D9" w:themeFill="background1" w:themeFillShade="D9"/>
            <w:vAlign w:val="center"/>
          </w:tcPr>
          <w:p w14:paraId="771FD237" w14:textId="15292987"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Morningstar US Real Est TR USD</w:t>
            </w:r>
          </w:p>
        </w:tc>
        <w:tc>
          <w:tcPr>
            <w:tcW w:w="878" w:type="dxa"/>
            <w:tcBorders>
              <w:top w:val="nil"/>
              <w:left w:val="nil"/>
              <w:bottom w:val="nil"/>
              <w:right w:val="nil"/>
            </w:tcBorders>
            <w:shd w:val="clear" w:color="auto" w:fill="D9D9D9" w:themeFill="background1" w:themeFillShade="D9"/>
            <w:vAlign w:val="center"/>
          </w:tcPr>
          <w:p w14:paraId="1AD08D48" w14:textId="672AD23E"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9.63%</w:t>
            </w:r>
          </w:p>
        </w:tc>
        <w:tc>
          <w:tcPr>
            <w:tcW w:w="821" w:type="dxa"/>
            <w:tcBorders>
              <w:top w:val="nil"/>
              <w:left w:val="nil"/>
              <w:bottom w:val="nil"/>
              <w:right w:val="nil"/>
            </w:tcBorders>
            <w:shd w:val="clear" w:color="auto" w:fill="D9D9D9" w:themeFill="background1" w:themeFillShade="D9"/>
            <w:vAlign w:val="center"/>
          </w:tcPr>
          <w:p w14:paraId="4DC8BC07" w14:textId="70D0892F"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3.63%</w:t>
            </w:r>
          </w:p>
        </w:tc>
        <w:tc>
          <w:tcPr>
            <w:tcW w:w="878" w:type="dxa"/>
            <w:tcBorders>
              <w:top w:val="nil"/>
              <w:left w:val="nil"/>
              <w:bottom w:val="nil"/>
              <w:right w:val="nil"/>
            </w:tcBorders>
            <w:shd w:val="clear" w:color="auto" w:fill="D9D9D9" w:themeFill="background1" w:themeFillShade="D9"/>
            <w:vAlign w:val="center"/>
          </w:tcPr>
          <w:p w14:paraId="28E22D37" w14:textId="0B2BC929"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6.25%</w:t>
            </w:r>
          </w:p>
        </w:tc>
        <w:tc>
          <w:tcPr>
            <w:tcW w:w="1238" w:type="dxa"/>
            <w:tcBorders>
              <w:top w:val="nil"/>
              <w:left w:val="nil"/>
              <w:bottom w:val="nil"/>
              <w:right w:val="nil"/>
            </w:tcBorders>
            <w:shd w:val="clear" w:color="auto" w:fill="D9D9D9" w:themeFill="background1" w:themeFillShade="D9"/>
            <w:vAlign w:val="center"/>
          </w:tcPr>
          <w:p w14:paraId="07ED5433" w14:textId="29D0F1C1"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8A87CF2" w14:textId="77777777" w:rsidTr="00CA5932">
        <w:trPr>
          <w:trHeight w:hRule="exact" w:val="230"/>
        </w:trPr>
        <w:tc>
          <w:tcPr>
            <w:tcW w:w="5659" w:type="dxa"/>
            <w:tcBorders>
              <w:top w:val="nil"/>
              <w:left w:val="nil"/>
              <w:bottom w:val="single" w:sz="4" w:space="0" w:color="auto"/>
              <w:right w:val="nil"/>
            </w:tcBorders>
            <w:shd w:val="clear" w:color="auto" w:fill="D9D9D9" w:themeFill="background1" w:themeFillShade="D9"/>
            <w:vAlign w:val="center"/>
          </w:tcPr>
          <w:p w14:paraId="717D0088" w14:textId="72CE56DB" w:rsidR="00167F99" w:rsidRPr="001C277A" w:rsidRDefault="00167F99" w:rsidP="00167F99">
            <w:pPr>
              <w:autoSpaceDE w:val="0"/>
              <w:autoSpaceDN w:val="0"/>
              <w:adjustRightInd w:val="0"/>
              <w:spacing w:after="12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878" w:type="dxa"/>
            <w:tcBorders>
              <w:top w:val="nil"/>
              <w:left w:val="nil"/>
              <w:bottom w:val="single" w:sz="4" w:space="0" w:color="auto"/>
              <w:right w:val="nil"/>
            </w:tcBorders>
            <w:shd w:val="clear" w:color="auto" w:fill="D9D9D9" w:themeFill="background1" w:themeFillShade="D9"/>
            <w:vAlign w:val="center"/>
          </w:tcPr>
          <w:p w14:paraId="638A625B"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21" w:type="dxa"/>
            <w:tcBorders>
              <w:top w:val="nil"/>
              <w:left w:val="nil"/>
              <w:bottom w:val="single" w:sz="4" w:space="0" w:color="auto"/>
              <w:right w:val="nil"/>
            </w:tcBorders>
            <w:shd w:val="clear" w:color="auto" w:fill="D9D9D9" w:themeFill="background1" w:themeFillShade="D9"/>
            <w:vAlign w:val="center"/>
          </w:tcPr>
          <w:p w14:paraId="4EEC2E20"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878" w:type="dxa"/>
            <w:tcBorders>
              <w:top w:val="nil"/>
              <w:left w:val="nil"/>
              <w:bottom w:val="single" w:sz="4" w:space="0" w:color="auto"/>
              <w:right w:val="nil"/>
            </w:tcBorders>
            <w:shd w:val="clear" w:color="auto" w:fill="D9D9D9" w:themeFill="background1" w:themeFillShade="D9"/>
            <w:vAlign w:val="center"/>
          </w:tcPr>
          <w:p w14:paraId="55B25F22"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c>
          <w:tcPr>
            <w:tcW w:w="1238" w:type="dxa"/>
            <w:tcBorders>
              <w:top w:val="nil"/>
              <w:left w:val="nil"/>
              <w:bottom w:val="single" w:sz="4" w:space="0" w:color="auto"/>
              <w:right w:val="nil"/>
            </w:tcBorders>
            <w:shd w:val="clear" w:color="auto" w:fill="D9D9D9" w:themeFill="background1" w:themeFillShade="D9"/>
            <w:vAlign w:val="center"/>
          </w:tcPr>
          <w:p w14:paraId="36F88F91" w14:textId="77777777" w:rsidR="00167F99" w:rsidRPr="001C277A" w:rsidRDefault="00167F99" w:rsidP="00167F99">
            <w:pPr>
              <w:autoSpaceDE w:val="0"/>
              <w:autoSpaceDN w:val="0"/>
              <w:adjustRightInd w:val="0"/>
              <w:spacing w:after="120" w:line="240" w:lineRule="auto"/>
              <w:jc w:val="center"/>
              <w:rPr>
                <w:rFonts w:ascii="Arial Narrow" w:hAnsi="Arial Narrow" w:cs="Arial"/>
                <w:sz w:val="18"/>
                <w:szCs w:val="20"/>
              </w:rPr>
            </w:pPr>
          </w:p>
        </w:tc>
      </w:tr>
    </w:tbl>
    <w:p w14:paraId="688E7F28" w14:textId="77777777" w:rsidR="00CA5932" w:rsidRPr="001C277A" w:rsidRDefault="00CA5932" w:rsidP="00224FDC">
      <w:pPr>
        <w:spacing w:after="120"/>
        <w:rPr>
          <w:rFonts w:cs="Arial"/>
          <w:b/>
          <w:bCs/>
          <w:color w:val="000000"/>
          <w:sz w:val="20"/>
          <w:szCs w:val="20"/>
        </w:rPr>
      </w:pPr>
    </w:p>
    <w:p w14:paraId="5177A229" w14:textId="0177B605" w:rsidR="00306F30" w:rsidRPr="001C277A" w:rsidRDefault="00306F30" w:rsidP="00224FDC">
      <w:pPr>
        <w:spacing w:after="120"/>
        <w:rPr>
          <w:rFonts w:cs="Arial"/>
          <w:bCs/>
          <w:color w:val="000000"/>
          <w:sz w:val="20"/>
          <w:szCs w:val="20"/>
        </w:rPr>
      </w:pPr>
      <w:r w:rsidRPr="001C277A">
        <w:rPr>
          <w:rFonts w:cs="Arial"/>
          <w:b/>
          <w:bCs/>
          <w:color w:val="000000"/>
          <w:sz w:val="20"/>
          <w:szCs w:val="20"/>
        </w:rPr>
        <w:t>Chart 2 – Fixed return investments</w:t>
      </w:r>
    </w:p>
    <w:p w14:paraId="7594DC67"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Chart 2 focuses on the performance of investment options that have a fixed or stated rate of return. The chart displays</w:t>
      </w:r>
      <w:r w:rsidR="00996D1F" w:rsidRPr="001C277A">
        <w:rPr>
          <w:rFonts w:cs="Arial"/>
          <w:color w:val="000000"/>
          <w:sz w:val="20"/>
          <w:szCs w:val="20"/>
        </w:rPr>
        <w:t xml:space="preserve"> </w:t>
      </w:r>
      <w:r w:rsidRPr="001C277A">
        <w:rPr>
          <w:rFonts w:cs="Arial"/>
          <w:color w:val="000000"/>
          <w:sz w:val="20"/>
          <w:szCs w:val="20"/>
        </w:rPr>
        <w:t>the credited rate of return of each such option, the term or length of time that you will earn this rate of return, and other</w:t>
      </w:r>
      <w:r w:rsidR="00996D1F" w:rsidRPr="001C277A">
        <w:rPr>
          <w:rFonts w:cs="Arial"/>
          <w:color w:val="000000"/>
          <w:sz w:val="20"/>
          <w:szCs w:val="20"/>
        </w:rPr>
        <w:t xml:space="preserve"> </w:t>
      </w:r>
      <w:r w:rsidRPr="001C277A">
        <w:rPr>
          <w:rFonts w:cs="Arial"/>
          <w:color w:val="000000"/>
          <w:sz w:val="20"/>
          <w:szCs w:val="20"/>
        </w:rPr>
        <w:t>information relevant to performance.</w:t>
      </w:r>
    </w:p>
    <w:p w14:paraId="6AD84FA1" w14:textId="77777777" w:rsidR="00C6599A" w:rsidRPr="001C277A" w:rsidRDefault="00C6599A" w:rsidP="00B94F0C">
      <w:pPr>
        <w:autoSpaceDE w:val="0"/>
        <w:autoSpaceDN w:val="0"/>
        <w:adjustRightInd w:val="0"/>
        <w:spacing w:after="0" w:line="240" w:lineRule="auto"/>
        <w:jc w:val="both"/>
        <w:rPr>
          <w:rFonts w:cs="Arial"/>
          <w:color w:val="000000"/>
          <w:sz w:val="20"/>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1044"/>
        <w:gridCol w:w="2196"/>
      </w:tblGrid>
      <w:tr w:rsidR="007101C4" w:rsidRPr="001C277A" w14:paraId="7FFA9126" w14:textId="77777777" w:rsidTr="00581FCF">
        <w:trPr>
          <w:trHeight w:val="368"/>
        </w:trPr>
        <w:tc>
          <w:tcPr>
            <w:tcW w:w="9270" w:type="dxa"/>
            <w:gridSpan w:val="4"/>
            <w:tcBorders>
              <w:top w:val="single" w:sz="4" w:space="0" w:color="auto"/>
              <w:left w:val="single" w:sz="4" w:space="0" w:color="auto"/>
              <w:bottom w:val="nil"/>
              <w:right w:val="single" w:sz="4" w:space="0" w:color="auto"/>
            </w:tcBorders>
            <w:shd w:val="clear" w:color="auto" w:fill="000000"/>
            <w:hideMark/>
          </w:tcPr>
          <w:p w14:paraId="0773C934" w14:textId="77777777" w:rsidR="007101C4" w:rsidRPr="001C277A" w:rsidRDefault="007101C4" w:rsidP="00BD76BB">
            <w:pPr>
              <w:autoSpaceDE w:val="0"/>
              <w:autoSpaceDN w:val="0"/>
              <w:adjustRightInd w:val="0"/>
              <w:spacing w:after="0" w:line="240" w:lineRule="auto"/>
              <w:jc w:val="center"/>
              <w:rPr>
                <w:rFonts w:eastAsia="Calibri" w:cs="Arial"/>
                <w:b/>
                <w:color w:val="FFFFFF"/>
                <w:szCs w:val="20"/>
              </w:rPr>
            </w:pPr>
            <w:r w:rsidRPr="001C277A">
              <w:rPr>
                <w:rFonts w:eastAsia="Calibri" w:cs="Arial"/>
                <w:b/>
                <w:color w:val="FFFFFF"/>
                <w:sz w:val="20"/>
                <w:szCs w:val="20"/>
              </w:rPr>
              <w:t>Chart 2 – Fixed return investments</w:t>
            </w:r>
          </w:p>
        </w:tc>
      </w:tr>
      <w:tr w:rsidR="007101C4" w:rsidRPr="001C277A" w14:paraId="08BD5239" w14:textId="77777777" w:rsidTr="00581FCF">
        <w:tc>
          <w:tcPr>
            <w:tcW w:w="2880" w:type="dxa"/>
            <w:tcBorders>
              <w:top w:val="nil"/>
              <w:left w:val="nil"/>
              <w:bottom w:val="single" w:sz="4" w:space="0" w:color="auto"/>
              <w:right w:val="nil"/>
            </w:tcBorders>
            <w:hideMark/>
          </w:tcPr>
          <w:p w14:paraId="4A9F6706" w14:textId="77777777" w:rsidR="007101C4" w:rsidRPr="001C277A" w:rsidRDefault="007101C4" w:rsidP="00BD76BB">
            <w:pPr>
              <w:autoSpaceDE w:val="0"/>
              <w:autoSpaceDN w:val="0"/>
              <w:adjustRightInd w:val="0"/>
              <w:spacing w:after="0" w:line="240" w:lineRule="auto"/>
              <w:jc w:val="both"/>
              <w:rPr>
                <w:rFonts w:eastAsia="Calibri" w:cs="Arial"/>
                <w:color w:val="000000"/>
                <w:szCs w:val="20"/>
              </w:rPr>
            </w:pPr>
            <w:r w:rsidRPr="001C277A">
              <w:rPr>
                <w:rFonts w:eastAsia="Calibri" w:cs="Arial"/>
                <w:b/>
                <w:color w:val="000000"/>
                <w:sz w:val="18"/>
                <w:szCs w:val="18"/>
              </w:rPr>
              <w:t>Investment options</w:t>
            </w:r>
          </w:p>
        </w:tc>
        <w:tc>
          <w:tcPr>
            <w:tcW w:w="3150" w:type="dxa"/>
            <w:tcBorders>
              <w:top w:val="nil"/>
              <w:left w:val="nil"/>
              <w:bottom w:val="single" w:sz="4" w:space="0" w:color="auto"/>
              <w:right w:val="nil"/>
            </w:tcBorders>
            <w:hideMark/>
          </w:tcPr>
          <w:p w14:paraId="604033B5" w14:textId="77777777" w:rsidR="007101C4" w:rsidRPr="001C277A" w:rsidRDefault="007101C4" w:rsidP="00BD76BB">
            <w:pPr>
              <w:autoSpaceDE w:val="0"/>
              <w:autoSpaceDN w:val="0"/>
              <w:adjustRightInd w:val="0"/>
              <w:spacing w:after="0" w:line="240" w:lineRule="auto"/>
              <w:jc w:val="both"/>
              <w:rPr>
                <w:rFonts w:eastAsia="Calibri" w:cs="Arial"/>
                <w:color w:val="000000"/>
                <w:szCs w:val="20"/>
              </w:rPr>
            </w:pPr>
            <w:r w:rsidRPr="001C277A">
              <w:rPr>
                <w:rFonts w:eastAsia="Calibri" w:cs="Arial"/>
                <w:b/>
                <w:color w:val="000000"/>
                <w:sz w:val="18"/>
                <w:szCs w:val="18"/>
              </w:rPr>
              <w:t>Rate Type</w:t>
            </w:r>
          </w:p>
        </w:tc>
        <w:tc>
          <w:tcPr>
            <w:tcW w:w="1044" w:type="dxa"/>
            <w:tcBorders>
              <w:top w:val="nil"/>
              <w:left w:val="nil"/>
              <w:bottom w:val="single" w:sz="4" w:space="0" w:color="auto"/>
              <w:right w:val="nil"/>
            </w:tcBorders>
            <w:hideMark/>
          </w:tcPr>
          <w:p w14:paraId="1A0CA17D"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r w:rsidRPr="001C277A">
              <w:rPr>
                <w:rFonts w:eastAsia="Calibri" w:cs="Arial"/>
                <w:b/>
                <w:color w:val="000000"/>
                <w:sz w:val="18"/>
                <w:szCs w:val="18"/>
              </w:rPr>
              <w:t>Return</w:t>
            </w:r>
          </w:p>
        </w:tc>
        <w:tc>
          <w:tcPr>
            <w:tcW w:w="2196" w:type="dxa"/>
            <w:tcBorders>
              <w:top w:val="nil"/>
              <w:left w:val="nil"/>
              <w:bottom w:val="single" w:sz="4" w:space="0" w:color="auto"/>
              <w:right w:val="nil"/>
            </w:tcBorders>
            <w:hideMark/>
          </w:tcPr>
          <w:p w14:paraId="719C001D"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r w:rsidRPr="001C277A">
              <w:rPr>
                <w:rFonts w:eastAsia="Calibri" w:cs="Arial"/>
                <w:b/>
                <w:color w:val="000000"/>
                <w:sz w:val="18"/>
                <w:szCs w:val="18"/>
              </w:rPr>
              <w:t>Term</w:t>
            </w:r>
          </w:p>
        </w:tc>
      </w:tr>
      <w:tr w:rsidR="007101C4" w:rsidRPr="001C277A" w14:paraId="34872B1E" w14:textId="77777777" w:rsidTr="00581FCF">
        <w:tc>
          <w:tcPr>
            <w:tcW w:w="2880" w:type="dxa"/>
            <w:tcBorders>
              <w:top w:val="single" w:sz="4" w:space="0" w:color="auto"/>
              <w:left w:val="nil"/>
              <w:bottom w:val="nil"/>
              <w:right w:val="nil"/>
            </w:tcBorders>
          </w:tcPr>
          <w:p w14:paraId="62080795" w14:textId="77777777" w:rsidR="007101C4" w:rsidRPr="001C277A" w:rsidRDefault="007101C4" w:rsidP="00BD76BB">
            <w:pPr>
              <w:autoSpaceDE w:val="0"/>
              <w:autoSpaceDN w:val="0"/>
              <w:adjustRightInd w:val="0"/>
              <w:spacing w:after="0" w:line="240" w:lineRule="auto"/>
              <w:jc w:val="both"/>
              <w:rPr>
                <w:rFonts w:eastAsia="Calibri" w:cs="Arial"/>
                <w:color w:val="000000"/>
                <w:szCs w:val="20"/>
              </w:rPr>
            </w:pPr>
          </w:p>
        </w:tc>
        <w:tc>
          <w:tcPr>
            <w:tcW w:w="3150" w:type="dxa"/>
            <w:tcBorders>
              <w:top w:val="single" w:sz="4" w:space="0" w:color="auto"/>
              <w:left w:val="nil"/>
              <w:bottom w:val="nil"/>
              <w:right w:val="nil"/>
            </w:tcBorders>
          </w:tcPr>
          <w:p w14:paraId="6917C5C7" w14:textId="77777777" w:rsidR="007101C4" w:rsidRPr="001C277A" w:rsidRDefault="007101C4" w:rsidP="00BD76BB">
            <w:pPr>
              <w:autoSpaceDE w:val="0"/>
              <w:autoSpaceDN w:val="0"/>
              <w:adjustRightInd w:val="0"/>
              <w:spacing w:after="0" w:line="240" w:lineRule="auto"/>
              <w:jc w:val="both"/>
              <w:rPr>
                <w:rFonts w:eastAsia="Calibri" w:cs="Arial"/>
                <w:color w:val="000000"/>
                <w:szCs w:val="20"/>
              </w:rPr>
            </w:pPr>
          </w:p>
        </w:tc>
        <w:tc>
          <w:tcPr>
            <w:tcW w:w="1044" w:type="dxa"/>
            <w:tcBorders>
              <w:top w:val="single" w:sz="4" w:space="0" w:color="auto"/>
              <w:left w:val="nil"/>
              <w:bottom w:val="nil"/>
              <w:right w:val="nil"/>
            </w:tcBorders>
          </w:tcPr>
          <w:p w14:paraId="500B5DA6"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p>
        </w:tc>
        <w:tc>
          <w:tcPr>
            <w:tcW w:w="2196" w:type="dxa"/>
            <w:tcBorders>
              <w:top w:val="single" w:sz="4" w:space="0" w:color="auto"/>
              <w:left w:val="nil"/>
              <w:bottom w:val="nil"/>
              <w:right w:val="nil"/>
            </w:tcBorders>
          </w:tcPr>
          <w:p w14:paraId="5F149AE5"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p>
        </w:tc>
      </w:tr>
      <w:tr w:rsidR="007101C4" w:rsidRPr="001C277A" w14:paraId="264CD7D3" w14:textId="77777777" w:rsidTr="00581FCF">
        <w:trPr>
          <w:trHeight w:val="270"/>
        </w:trPr>
        <w:tc>
          <w:tcPr>
            <w:tcW w:w="2880" w:type="dxa"/>
            <w:tcBorders>
              <w:top w:val="nil"/>
              <w:left w:val="nil"/>
              <w:bottom w:val="nil"/>
              <w:right w:val="nil"/>
            </w:tcBorders>
            <w:hideMark/>
          </w:tcPr>
          <w:p w14:paraId="408DF544" w14:textId="35CD80AE" w:rsidR="007101C4" w:rsidRPr="001C277A" w:rsidRDefault="007101C4" w:rsidP="007101C4">
            <w:pPr>
              <w:autoSpaceDE w:val="0"/>
              <w:autoSpaceDN w:val="0"/>
              <w:adjustRightInd w:val="0"/>
              <w:spacing w:after="0" w:line="240" w:lineRule="auto"/>
              <w:jc w:val="both"/>
              <w:rPr>
                <w:rFonts w:eastAsia="Calibri" w:cs="Arial"/>
                <w:color w:val="000000"/>
                <w:sz w:val="18"/>
                <w:szCs w:val="20"/>
              </w:rPr>
            </w:pPr>
            <w:r w:rsidRPr="001C277A">
              <w:rPr>
                <w:rFonts w:eastAsia="Calibri" w:cs="Arial"/>
                <w:b/>
                <w:sz w:val="18"/>
                <w:szCs w:val="18"/>
              </w:rPr>
              <w:t xml:space="preserve">Lincoln Stable Value </w:t>
            </w:r>
            <w:r w:rsidR="00167F99" w:rsidRPr="001C277A">
              <w:rPr>
                <w:rFonts w:eastAsia="Calibri" w:cs="Arial"/>
                <w:b/>
                <w:sz w:val="18"/>
                <w:szCs w:val="18"/>
              </w:rPr>
              <w:t>LNGPA</w:t>
            </w:r>
          </w:p>
        </w:tc>
        <w:tc>
          <w:tcPr>
            <w:tcW w:w="3150" w:type="dxa"/>
            <w:tcBorders>
              <w:top w:val="nil"/>
              <w:left w:val="nil"/>
              <w:bottom w:val="nil"/>
              <w:right w:val="nil"/>
            </w:tcBorders>
            <w:hideMark/>
          </w:tcPr>
          <w:p w14:paraId="2107039A" w14:textId="77777777" w:rsidR="007101C4" w:rsidRPr="001C277A" w:rsidRDefault="007101C4" w:rsidP="00BD76BB">
            <w:pPr>
              <w:autoSpaceDE w:val="0"/>
              <w:autoSpaceDN w:val="0"/>
              <w:adjustRightInd w:val="0"/>
              <w:spacing w:after="0" w:line="240" w:lineRule="auto"/>
              <w:jc w:val="both"/>
              <w:rPr>
                <w:rFonts w:eastAsia="Calibri" w:cs="Arial"/>
                <w:color w:val="000000"/>
                <w:sz w:val="18"/>
                <w:szCs w:val="20"/>
              </w:rPr>
            </w:pPr>
            <w:r w:rsidRPr="001C277A">
              <w:rPr>
                <w:rFonts w:eastAsia="Calibri" w:cs="Arial"/>
                <w:color w:val="000000"/>
                <w:sz w:val="18"/>
                <w:szCs w:val="18"/>
              </w:rPr>
              <w:t>New money rate</w:t>
            </w:r>
          </w:p>
        </w:tc>
        <w:tc>
          <w:tcPr>
            <w:tcW w:w="1044" w:type="dxa"/>
            <w:tcBorders>
              <w:top w:val="nil"/>
              <w:left w:val="nil"/>
              <w:bottom w:val="nil"/>
              <w:right w:val="nil"/>
            </w:tcBorders>
            <w:hideMark/>
          </w:tcPr>
          <w:p w14:paraId="2521F2E1" w14:textId="77777777" w:rsidR="007101C4" w:rsidRPr="001C277A" w:rsidRDefault="007101C4" w:rsidP="00BD76BB">
            <w:pPr>
              <w:autoSpaceDE w:val="0"/>
              <w:autoSpaceDN w:val="0"/>
              <w:adjustRightInd w:val="0"/>
              <w:spacing w:after="0" w:line="240" w:lineRule="auto"/>
              <w:jc w:val="center"/>
              <w:rPr>
                <w:rFonts w:eastAsia="Calibri" w:cs="Arial"/>
                <w:color w:val="000000"/>
                <w:sz w:val="18"/>
                <w:szCs w:val="20"/>
              </w:rPr>
            </w:pPr>
            <w:r w:rsidRPr="001C277A">
              <w:rPr>
                <w:rFonts w:eastAsia="Calibri" w:cs="Arial"/>
                <w:color w:val="000000"/>
                <w:sz w:val="18"/>
                <w:szCs w:val="18"/>
              </w:rPr>
              <w:t>---</w:t>
            </w:r>
          </w:p>
        </w:tc>
        <w:tc>
          <w:tcPr>
            <w:tcW w:w="2196" w:type="dxa"/>
            <w:tcBorders>
              <w:top w:val="nil"/>
              <w:left w:val="nil"/>
              <w:bottom w:val="nil"/>
              <w:right w:val="nil"/>
            </w:tcBorders>
            <w:hideMark/>
          </w:tcPr>
          <w:p w14:paraId="226F639A"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r w:rsidRPr="001C277A">
              <w:rPr>
                <w:rFonts w:eastAsia="Calibri" w:cs="Arial"/>
                <w:color w:val="000000"/>
                <w:sz w:val="18"/>
                <w:szCs w:val="18"/>
              </w:rPr>
              <w:t>Quarterly</w:t>
            </w:r>
          </w:p>
        </w:tc>
      </w:tr>
      <w:tr w:rsidR="007101C4" w:rsidRPr="001C277A" w14:paraId="6712286C" w14:textId="77777777" w:rsidTr="00581FCF">
        <w:trPr>
          <w:trHeight w:val="270"/>
        </w:trPr>
        <w:tc>
          <w:tcPr>
            <w:tcW w:w="2880" w:type="dxa"/>
            <w:tcBorders>
              <w:top w:val="nil"/>
              <w:left w:val="nil"/>
              <w:bottom w:val="nil"/>
              <w:right w:val="nil"/>
            </w:tcBorders>
          </w:tcPr>
          <w:p w14:paraId="6D007B10" w14:textId="77777777" w:rsidR="007101C4" w:rsidRPr="001C277A" w:rsidRDefault="007101C4" w:rsidP="00BD76BB">
            <w:pPr>
              <w:autoSpaceDE w:val="0"/>
              <w:autoSpaceDN w:val="0"/>
              <w:adjustRightInd w:val="0"/>
              <w:spacing w:after="0" w:line="240" w:lineRule="auto"/>
              <w:jc w:val="both"/>
              <w:rPr>
                <w:rFonts w:eastAsia="Calibri" w:cs="Arial"/>
                <w:color w:val="000000"/>
                <w:sz w:val="18"/>
                <w:szCs w:val="20"/>
              </w:rPr>
            </w:pPr>
          </w:p>
        </w:tc>
        <w:tc>
          <w:tcPr>
            <w:tcW w:w="3150" w:type="dxa"/>
            <w:tcBorders>
              <w:top w:val="nil"/>
              <w:left w:val="nil"/>
              <w:bottom w:val="nil"/>
              <w:right w:val="nil"/>
            </w:tcBorders>
            <w:hideMark/>
          </w:tcPr>
          <w:p w14:paraId="467E049B" w14:textId="77777777" w:rsidR="007101C4" w:rsidRPr="001C277A" w:rsidRDefault="007101C4" w:rsidP="00BD76BB">
            <w:pPr>
              <w:autoSpaceDE w:val="0"/>
              <w:autoSpaceDN w:val="0"/>
              <w:adjustRightInd w:val="0"/>
              <w:spacing w:after="0" w:line="240" w:lineRule="auto"/>
              <w:jc w:val="both"/>
              <w:rPr>
                <w:rFonts w:eastAsia="Calibri" w:cs="Arial"/>
                <w:color w:val="000000"/>
                <w:sz w:val="18"/>
                <w:szCs w:val="20"/>
              </w:rPr>
            </w:pPr>
            <w:r w:rsidRPr="001C277A">
              <w:rPr>
                <w:rFonts w:eastAsia="Calibri" w:cs="Arial"/>
                <w:color w:val="000000"/>
                <w:sz w:val="18"/>
                <w:szCs w:val="18"/>
              </w:rPr>
              <w:t>Portfolio rate</w:t>
            </w:r>
          </w:p>
        </w:tc>
        <w:tc>
          <w:tcPr>
            <w:tcW w:w="1044" w:type="dxa"/>
            <w:tcBorders>
              <w:top w:val="nil"/>
              <w:left w:val="nil"/>
              <w:bottom w:val="nil"/>
              <w:right w:val="nil"/>
            </w:tcBorders>
            <w:hideMark/>
          </w:tcPr>
          <w:p w14:paraId="6B838872" w14:textId="248BBD31" w:rsidR="007101C4" w:rsidRPr="001C277A" w:rsidRDefault="00167F99" w:rsidP="00BD76BB">
            <w:pPr>
              <w:autoSpaceDE w:val="0"/>
              <w:autoSpaceDN w:val="0"/>
              <w:adjustRightInd w:val="0"/>
              <w:spacing w:after="0" w:line="240" w:lineRule="auto"/>
              <w:jc w:val="center"/>
              <w:rPr>
                <w:rFonts w:eastAsia="Calibri" w:cs="Arial"/>
                <w:color w:val="000000"/>
                <w:sz w:val="18"/>
                <w:szCs w:val="20"/>
              </w:rPr>
            </w:pPr>
            <w:r w:rsidRPr="001C277A">
              <w:rPr>
                <w:rFonts w:eastAsia="Calibri" w:cs="Arial"/>
                <w:color w:val="000000"/>
                <w:sz w:val="18"/>
                <w:szCs w:val="18"/>
              </w:rPr>
              <w:t>2.20</w:t>
            </w:r>
            <w:r w:rsidR="007101C4" w:rsidRPr="001C277A">
              <w:rPr>
                <w:rFonts w:eastAsia="Calibri" w:cs="Arial"/>
                <w:color w:val="000000"/>
                <w:sz w:val="18"/>
                <w:szCs w:val="18"/>
              </w:rPr>
              <w:t>%</w:t>
            </w:r>
          </w:p>
        </w:tc>
        <w:tc>
          <w:tcPr>
            <w:tcW w:w="2196" w:type="dxa"/>
            <w:tcBorders>
              <w:top w:val="nil"/>
              <w:left w:val="nil"/>
              <w:bottom w:val="nil"/>
              <w:right w:val="nil"/>
            </w:tcBorders>
            <w:hideMark/>
          </w:tcPr>
          <w:p w14:paraId="30166AF6"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r w:rsidRPr="001C277A">
              <w:rPr>
                <w:rFonts w:eastAsia="Calibri" w:cs="Arial"/>
                <w:color w:val="000000"/>
                <w:sz w:val="18"/>
                <w:szCs w:val="18"/>
              </w:rPr>
              <w:t>Quarterly</w:t>
            </w:r>
          </w:p>
        </w:tc>
      </w:tr>
      <w:tr w:rsidR="007101C4" w:rsidRPr="001C277A" w14:paraId="28C94C08" w14:textId="77777777" w:rsidTr="00581FCF">
        <w:trPr>
          <w:trHeight w:val="360"/>
        </w:trPr>
        <w:tc>
          <w:tcPr>
            <w:tcW w:w="2880" w:type="dxa"/>
            <w:tcBorders>
              <w:top w:val="nil"/>
              <w:left w:val="nil"/>
              <w:bottom w:val="nil"/>
              <w:right w:val="nil"/>
            </w:tcBorders>
          </w:tcPr>
          <w:p w14:paraId="3EA594E5" w14:textId="77777777" w:rsidR="007101C4" w:rsidRPr="001C277A" w:rsidRDefault="007101C4" w:rsidP="00BD76BB">
            <w:pPr>
              <w:autoSpaceDE w:val="0"/>
              <w:autoSpaceDN w:val="0"/>
              <w:adjustRightInd w:val="0"/>
              <w:spacing w:after="0" w:line="240" w:lineRule="auto"/>
              <w:jc w:val="both"/>
              <w:rPr>
                <w:rFonts w:eastAsia="Calibri" w:cs="Arial"/>
                <w:color w:val="000000"/>
                <w:sz w:val="18"/>
                <w:szCs w:val="20"/>
              </w:rPr>
            </w:pPr>
          </w:p>
        </w:tc>
        <w:tc>
          <w:tcPr>
            <w:tcW w:w="3150" w:type="dxa"/>
            <w:tcBorders>
              <w:top w:val="nil"/>
              <w:left w:val="nil"/>
              <w:bottom w:val="nil"/>
              <w:right w:val="nil"/>
            </w:tcBorders>
            <w:hideMark/>
          </w:tcPr>
          <w:p w14:paraId="714DF0FA" w14:textId="77777777" w:rsidR="007101C4" w:rsidRPr="001C277A" w:rsidRDefault="007101C4" w:rsidP="00BD76BB">
            <w:pPr>
              <w:autoSpaceDE w:val="0"/>
              <w:autoSpaceDN w:val="0"/>
              <w:adjustRightInd w:val="0"/>
              <w:spacing w:after="0" w:line="240" w:lineRule="auto"/>
              <w:jc w:val="both"/>
              <w:rPr>
                <w:rFonts w:eastAsia="Calibri" w:cs="Arial"/>
                <w:color w:val="000000"/>
                <w:sz w:val="18"/>
                <w:szCs w:val="20"/>
              </w:rPr>
            </w:pPr>
            <w:r w:rsidRPr="001C277A">
              <w:rPr>
                <w:rFonts w:eastAsia="Calibri" w:cs="Arial"/>
                <w:color w:val="000000"/>
                <w:sz w:val="18"/>
                <w:szCs w:val="18"/>
              </w:rPr>
              <w:t>Guaranteed minimum interest rate</w:t>
            </w:r>
          </w:p>
        </w:tc>
        <w:tc>
          <w:tcPr>
            <w:tcW w:w="1044" w:type="dxa"/>
            <w:tcBorders>
              <w:top w:val="nil"/>
              <w:left w:val="nil"/>
              <w:bottom w:val="nil"/>
              <w:right w:val="nil"/>
            </w:tcBorders>
            <w:hideMark/>
          </w:tcPr>
          <w:p w14:paraId="56229437" w14:textId="46865CAA" w:rsidR="007101C4" w:rsidRPr="001C277A" w:rsidRDefault="00167F99" w:rsidP="007101C4">
            <w:pPr>
              <w:autoSpaceDE w:val="0"/>
              <w:autoSpaceDN w:val="0"/>
              <w:adjustRightInd w:val="0"/>
              <w:spacing w:after="0" w:line="240" w:lineRule="auto"/>
              <w:jc w:val="center"/>
              <w:rPr>
                <w:rFonts w:eastAsia="Calibri" w:cs="Arial"/>
                <w:color w:val="000000"/>
                <w:sz w:val="18"/>
                <w:szCs w:val="20"/>
              </w:rPr>
            </w:pPr>
            <w:r w:rsidRPr="001C277A">
              <w:rPr>
                <w:rFonts w:eastAsia="Calibri" w:cs="Arial"/>
                <w:color w:val="000000"/>
                <w:sz w:val="18"/>
                <w:szCs w:val="18"/>
              </w:rPr>
              <w:t>1.00</w:t>
            </w:r>
            <w:r w:rsidR="007101C4" w:rsidRPr="001C277A">
              <w:rPr>
                <w:rFonts w:eastAsia="Calibri" w:cs="Arial"/>
                <w:color w:val="000000"/>
                <w:sz w:val="18"/>
                <w:szCs w:val="18"/>
              </w:rPr>
              <w:t>%</w:t>
            </w:r>
          </w:p>
        </w:tc>
        <w:tc>
          <w:tcPr>
            <w:tcW w:w="2196" w:type="dxa"/>
            <w:tcBorders>
              <w:top w:val="nil"/>
              <w:left w:val="nil"/>
              <w:bottom w:val="nil"/>
              <w:right w:val="nil"/>
            </w:tcBorders>
            <w:hideMark/>
          </w:tcPr>
          <w:p w14:paraId="079CE351" w14:textId="77777777" w:rsidR="007101C4" w:rsidRPr="001C277A" w:rsidRDefault="007101C4" w:rsidP="00BD76BB">
            <w:pPr>
              <w:autoSpaceDE w:val="0"/>
              <w:autoSpaceDN w:val="0"/>
              <w:adjustRightInd w:val="0"/>
              <w:spacing w:after="0" w:line="240" w:lineRule="auto"/>
              <w:jc w:val="center"/>
              <w:rPr>
                <w:rFonts w:eastAsia="Calibri" w:cs="Arial"/>
                <w:color w:val="000000"/>
                <w:szCs w:val="20"/>
              </w:rPr>
            </w:pPr>
            <w:r w:rsidRPr="001C277A">
              <w:rPr>
                <w:rFonts w:eastAsia="Calibri" w:cs="Arial"/>
                <w:color w:val="000000"/>
                <w:sz w:val="18"/>
                <w:szCs w:val="18"/>
              </w:rPr>
              <w:t>1-99 yrs.</w:t>
            </w:r>
          </w:p>
        </w:tc>
      </w:tr>
      <w:tr w:rsidR="007101C4" w:rsidRPr="001C277A" w14:paraId="57DEEAFA" w14:textId="77777777" w:rsidTr="00581FCF">
        <w:trPr>
          <w:trHeight w:val="405"/>
        </w:trPr>
        <w:tc>
          <w:tcPr>
            <w:tcW w:w="9270" w:type="dxa"/>
            <w:gridSpan w:val="4"/>
            <w:tcBorders>
              <w:top w:val="nil"/>
              <w:left w:val="nil"/>
              <w:bottom w:val="single" w:sz="4" w:space="0" w:color="auto"/>
              <w:right w:val="nil"/>
            </w:tcBorders>
            <w:hideMark/>
          </w:tcPr>
          <w:p w14:paraId="4D768BD3" w14:textId="77777777" w:rsidR="007101C4" w:rsidRPr="001C277A" w:rsidRDefault="007101C4" w:rsidP="00BD76BB">
            <w:pPr>
              <w:autoSpaceDE w:val="0"/>
              <w:autoSpaceDN w:val="0"/>
              <w:adjustRightInd w:val="0"/>
              <w:spacing w:after="0" w:line="240" w:lineRule="auto"/>
              <w:jc w:val="both"/>
              <w:rPr>
                <w:rFonts w:eastAsia="Calibri" w:cs="Arial"/>
                <w:color w:val="000000"/>
                <w:sz w:val="16"/>
                <w:szCs w:val="16"/>
              </w:rPr>
            </w:pPr>
            <w:r w:rsidRPr="001C277A">
              <w:rPr>
                <w:rFonts w:eastAsia="Calibri" w:cs="Arial"/>
                <w:color w:val="000000"/>
                <w:sz w:val="16"/>
                <w:szCs w:val="16"/>
              </w:rPr>
              <w:t xml:space="preserve">Lincoln reserves the right to adjust the fixed or stated rate of return prospectively during the term of the contract or agreement. The most current rate of return is available at 800-234-3500. </w:t>
            </w:r>
          </w:p>
        </w:tc>
      </w:tr>
    </w:tbl>
    <w:p w14:paraId="1DE9640C" w14:textId="77777777" w:rsidR="00670D87" w:rsidRPr="001C277A" w:rsidRDefault="00670D87" w:rsidP="007101C4">
      <w:pPr>
        <w:autoSpaceDE w:val="0"/>
        <w:autoSpaceDN w:val="0"/>
        <w:adjustRightInd w:val="0"/>
        <w:spacing w:after="0" w:line="240" w:lineRule="auto"/>
        <w:jc w:val="both"/>
        <w:rPr>
          <w:rFonts w:cs="Arial"/>
          <w:color w:val="000000"/>
          <w:sz w:val="20"/>
          <w:szCs w:val="20"/>
        </w:rPr>
      </w:pPr>
    </w:p>
    <w:p w14:paraId="1DAFD111" w14:textId="77777777" w:rsidR="007101C4" w:rsidRPr="001C277A" w:rsidRDefault="007101C4" w:rsidP="007101C4">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 xml:space="preserve">If the Guaranteed Minimum Interest Rate listed above is higher than the Portfolio rate and/or the </w:t>
      </w:r>
      <w:proofErr w:type="gramStart"/>
      <w:r w:rsidRPr="001C277A">
        <w:rPr>
          <w:rFonts w:cs="Arial"/>
          <w:color w:val="000000"/>
          <w:sz w:val="20"/>
          <w:szCs w:val="20"/>
        </w:rPr>
        <w:t>New</w:t>
      </w:r>
      <w:proofErr w:type="gramEnd"/>
      <w:r w:rsidRPr="001C277A">
        <w:rPr>
          <w:rFonts w:cs="Arial"/>
          <w:color w:val="000000"/>
          <w:sz w:val="20"/>
          <w:szCs w:val="20"/>
        </w:rPr>
        <w:t xml:space="preserve"> money rate, Lincoln’s Guaranteed Minimum Interest Rate will be the actual rate credited to your account.</w:t>
      </w:r>
    </w:p>
    <w:p w14:paraId="6F75F746" w14:textId="77777777" w:rsidR="00B75550" w:rsidRPr="001C277A" w:rsidRDefault="00B75550" w:rsidP="00B94F0C">
      <w:pPr>
        <w:autoSpaceDE w:val="0"/>
        <w:autoSpaceDN w:val="0"/>
        <w:adjustRightInd w:val="0"/>
        <w:spacing w:after="0" w:line="240" w:lineRule="auto"/>
        <w:jc w:val="both"/>
        <w:rPr>
          <w:rFonts w:cs="Arial"/>
          <w:b/>
          <w:bCs/>
          <w:color w:val="000000"/>
          <w:sz w:val="20"/>
          <w:szCs w:val="20"/>
        </w:rPr>
      </w:pPr>
    </w:p>
    <w:p w14:paraId="1B9C39C2" w14:textId="77777777" w:rsidR="00306F30" w:rsidRPr="001C277A" w:rsidRDefault="00306F30" w:rsidP="00224FDC">
      <w:pPr>
        <w:autoSpaceDE w:val="0"/>
        <w:autoSpaceDN w:val="0"/>
        <w:adjustRightInd w:val="0"/>
        <w:spacing w:after="120" w:line="240" w:lineRule="auto"/>
        <w:jc w:val="both"/>
        <w:rPr>
          <w:rFonts w:cs="Arial"/>
          <w:b/>
          <w:bCs/>
          <w:color w:val="000000"/>
          <w:sz w:val="20"/>
          <w:szCs w:val="20"/>
        </w:rPr>
      </w:pPr>
      <w:r w:rsidRPr="001C277A">
        <w:rPr>
          <w:rFonts w:cs="Arial"/>
          <w:b/>
          <w:bCs/>
          <w:color w:val="000000"/>
          <w:sz w:val="20"/>
          <w:szCs w:val="20"/>
        </w:rPr>
        <w:t>Chart 3 – Fee and expense information</w:t>
      </w:r>
    </w:p>
    <w:p w14:paraId="53608EBC" w14:textId="77777777" w:rsidR="00306F30" w:rsidRPr="001C277A" w:rsidRDefault="00306F30"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Chart 3 displays fee and expense information for the investment options listed in the prior two charts (Chart 1 and Chart 2).</w:t>
      </w:r>
      <w:r w:rsidR="00996D1F" w:rsidRPr="001C277A">
        <w:rPr>
          <w:rFonts w:cs="Arial"/>
          <w:color w:val="000000"/>
          <w:sz w:val="20"/>
          <w:szCs w:val="20"/>
        </w:rPr>
        <w:t xml:space="preserve"> </w:t>
      </w:r>
      <w:r w:rsidRPr="001C277A">
        <w:rPr>
          <w:rFonts w:cs="Arial"/>
          <w:color w:val="000000"/>
          <w:sz w:val="20"/>
          <w:szCs w:val="20"/>
        </w:rPr>
        <w:t>It indicates the total annual operating expenses of the options in Chart 1. Total annual operating expenses are expenses</w:t>
      </w:r>
      <w:r w:rsidR="00996D1F" w:rsidRPr="001C277A">
        <w:rPr>
          <w:rFonts w:cs="Arial"/>
          <w:color w:val="000000"/>
          <w:sz w:val="20"/>
          <w:szCs w:val="20"/>
        </w:rPr>
        <w:t xml:space="preserve"> </w:t>
      </w:r>
      <w:r w:rsidRPr="001C277A">
        <w:rPr>
          <w:rFonts w:cs="Arial"/>
          <w:color w:val="000000"/>
          <w:sz w:val="20"/>
          <w:szCs w:val="20"/>
        </w:rPr>
        <w:t>that reduce the rate of return of the investment option. This chart also shows shareholder-type fees. These fees are in</w:t>
      </w:r>
      <w:r w:rsidR="00996D1F" w:rsidRPr="001C277A">
        <w:rPr>
          <w:rFonts w:cs="Arial"/>
          <w:color w:val="000000"/>
          <w:sz w:val="20"/>
          <w:szCs w:val="20"/>
        </w:rPr>
        <w:t xml:space="preserve"> </w:t>
      </w:r>
      <w:r w:rsidRPr="001C277A">
        <w:rPr>
          <w:rFonts w:cs="Arial"/>
          <w:color w:val="000000"/>
          <w:sz w:val="20"/>
          <w:szCs w:val="20"/>
        </w:rPr>
        <w:t>addition to total annual operating expenses.</w:t>
      </w:r>
    </w:p>
    <w:p w14:paraId="3A50922C" w14:textId="77777777" w:rsidR="00996D1F" w:rsidRPr="001C277A" w:rsidRDefault="00996D1F" w:rsidP="00B94F0C">
      <w:pPr>
        <w:autoSpaceDE w:val="0"/>
        <w:autoSpaceDN w:val="0"/>
        <w:adjustRightInd w:val="0"/>
        <w:spacing w:after="0" w:line="240" w:lineRule="auto"/>
        <w:jc w:val="both"/>
        <w:rPr>
          <w:rFonts w:cs="Arial"/>
          <w:b/>
          <w:bCs/>
          <w:color w:val="000000"/>
          <w:sz w:val="20"/>
          <w:szCs w:val="20"/>
        </w:rPr>
      </w:pPr>
    </w:p>
    <w:tbl>
      <w:tblPr>
        <w:tblStyle w:val="TableGrid"/>
        <w:tblW w:w="9468" w:type="dxa"/>
        <w:tblLook w:val="04A0" w:firstRow="1" w:lastRow="0" w:firstColumn="1" w:lastColumn="0" w:noHBand="0" w:noVBand="1"/>
      </w:tblPr>
      <w:tblGrid>
        <w:gridCol w:w="4338"/>
        <w:gridCol w:w="900"/>
        <w:gridCol w:w="990"/>
        <w:gridCol w:w="990"/>
        <w:gridCol w:w="900"/>
        <w:gridCol w:w="1350"/>
      </w:tblGrid>
      <w:tr w:rsidR="00C02F67" w:rsidRPr="001C277A" w14:paraId="04ECF7E6" w14:textId="77777777" w:rsidTr="0006280B">
        <w:trPr>
          <w:trHeight w:val="350"/>
        </w:trPr>
        <w:tc>
          <w:tcPr>
            <w:tcW w:w="9468" w:type="dxa"/>
            <w:gridSpan w:val="6"/>
            <w:tcBorders>
              <w:bottom w:val="nil"/>
            </w:tcBorders>
            <w:shd w:val="clear" w:color="auto" w:fill="000000" w:themeFill="text1"/>
            <w:vAlign w:val="center"/>
          </w:tcPr>
          <w:p w14:paraId="40046D96" w14:textId="77777777" w:rsidR="00C02F67" w:rsidRPr="001C277A" w:rsidRDefault="00C02F67" w:rsidP="00C02F67">
            <w:pPr>
              <w:autoSpaceDE w:val="0"/>
              <w:autoSpaceDN w:val="0"/>
              <w:adjustRightInd w:val="0"/>
              <w:jc w:val="center"/>
              <w:rPr>
                <w:rFonts w:cs="Arial"/>
                <w:b/>
                <w:bCs/>
                <w:color w:val="FFFFFF" w:themeColor="background1"/>
                <w:sz w:val="18"/>
                <w:szCs w:val="18"/>
              </w:rPr>
            </w:pPr>
            <w:bookmarkStart w:id="27" w:name="Chart3Start"/>
            <w:bookmarkEnd w:id="27"/>
            <w:r w:rsidRPr="001C277A">
              <w:rPr>
                <w:rFonts w:cs="Arial"/>
                <w:b/>
                <w:bCs/>
                <w:color w:val="FFFFFF" w:themeColor="background1"/>
                <w:sz w:val="18"/>
                <w:szCs w:val="18"/>
              </w:rPr>
              <w:t>Chart 3 – Fees and expenses</w:t>
            </w:r>
          </w:p>
        </w:tc>
      </w:tr>
      <w:tr w:rsidR="00C02F67" w:rsidRPr="001C277A" w14:paraId="3016F281" w14:textId="77777777" w:rsidTr="0006280B">
        <w:trPr>
          <w:trHeight w:val="530"/>
        </w:trPr>
        <w:tc>
          <w:tcPr>
            <w:tcW w:w="4338" w:type="dxa"/>
            <w:tcBorders>
              <w:top w:val="nil"/>
              <w:bottom w:val="nil"/>
            </w:tcBorders>
            <w:vAlign w:val="bottom"/>
          </w:tcPr>
          <w:p w14:paraId="11EEF552" w14:textId="77777777" w:rsidR="00C02F67" w:rsidRPr="001C277A" w:rsidRDefault="00126934" w:rsidP="00126934">
            <w:pPr>
              <w:autoSpaceDE w:val="0"/>
              <w:autoSpaceDN w:val="0"/>
              <w:adjustRightInd w:val="0"/>
              <w:jc w:val="center"/>
              <w:rPr>
                <w:rFonts w:ascii="Arial Narrow" w:hAnsi="Arial Narrow" w:cs="Arial"/>
                <w:b/>
                <w:bCs/>
                <w:color w:val="000000"/>
                <w:sz w:val="20"/>
                <w:szCs w:val="20"/>
              </w:rPr>
            </w:pPr>
            <w:r w:rsidRPr="001C277A">
              <w:rPr>
                <w:rFonts w:ascii="Arial Narrow" w:hAnsi="Arial Narrow" w:cs="Arial"/>
                <w:b/>
                <w:bCs/>
                <w:color w:val="000000"/>
                <w:sz w:val="20"/>
                <w:szCs w:val="20"/>
              </w:rPr>
              <w:t>Investment option</w:t>
            </w:r>
          </w:p>
        </w:tc>
        <w:tc>
          <w:tcPr>
            <w:tcW w:w="1890" w:type="dxa"/>
            <w:gridSpan w:val="2"/>
          </w:tcPr>
          <w:p w14:paraId="1745F833" w14:textId="77777777" w:rsidR="00C02F67" w:rsidRPr="001C277A" w:rsidRDefault="00C02F67" w:rsidP="00C02F67">
            <w:pPr>
              <w:autoSpaceDE w:val="0"/>
              <w:autoSpaceDN w:val="0"/>
              <w:adjustRightInd w:val="0"/>
              <w:jc w:val="center"/>
              <w:rPr>
                <w:rFonts w:ascii="Arial Narrow" w:hAnsi="Arial Narrow" w:cs="Arial"/>
                <w:b/>
                <w:bCs/>
                <w:color w:val="000000"/>
                <w:sz w:val="18"/>
                <w:szCs w:val="18"/>
              </w:rPr>
            </w:pPr>
            <w:r w:rsidRPr="001C277A">
              <w:rPr>
                <w:rFonts w:ascii="Arial Narrow" w:hAnsi="Arial Narrow" w:cs="Arial"/>
                <w:b/>
                <w:bCs/>
                <w:color w:val="000000"/>
                <w:sz w:val="18"/>
                <w:szCs w:val="18"/>
              </w:rPr>
              <w:t>Total annual operating expenses</w:t>
            </w:r>
          </w:p>
        </w:tc>
        <w:tc>
          <w:tcPr>
            <w:tcW w:w="1890" w:type="dxa"/>
            <w:gridSpan w:val="2"/>
          </w:tcPr>
          <w:p w14:paraId="724F72D9" w14:textId="77777777" w:rsidR="00C02F67" w:rsidRPr="001C277A" w:rsidRDefault="00C02F67" w:rsidP="00C02F67">
            <w:pPr>
              <w:autoSpaceDE w:val="0"/>
              <w:autoSpaceDN w:val="0"/>
              <w:adjustRightInd w:val="0"/>
              <w:jc w:val="center"/>
              <w:rPr>
                <w:rFonts w:ascii="Arial Narrow" w:hAnsi="Arial Narrow" w:cs="Arial"/>
                <w:b/>
                <w:bCs/>
                <w:color w:val="000000"/>
                <w:sz w:val="18"/>
                <w:szCs w:val="18"/>
              </w:rPr>
            </w:pPr>
            <w:r w:rsidRPr="001C277A">
              <w:rPr>
                <w:rFonts w:ascii="Arial Narrow" w:hAnsi="Arial Narrow" w:cs="Arial"/>
                <w:b/>
                <w:bCs/>
                <w:color w:val="000000"/>
                <w:sz w:val="18"/>
                <w:szCs w:val="18"/>
              </w:rPr>
              <w:t>Net operating expenses</w:t>
            </w:r>
          </w:p>
        </w:tc>
        <w:tc>
          <w:tcPr>
            <w:tcW w:w="1350" w:type="dxa"/>
            <w:tcBorders>
              <w:bottom w:val="nil"/>
            </w:tcBorders>
            <w:vAlign w:val="bottom"/>
          </w:tcPr>
          <w:p w14:paraId="6CF5E31E" w14:textId="77777777" w:rsidR="00C02F67" w:rsidRPr="001C277A" w:rsidRDefault="00126934" w:rsidP="00126934">
            <w:pPr>
              <w:autoSpaceDE w:val="0"/>
              <w:autoSpaceDN w:val="0"/>
              <w:adjustRightInd w:val="0"/>
              <w:rPr>
                <w:rFonts w:ascii="Arial Narrow" w:hAnsi="Arial Narrow" w:cs="Arial"/>
                <w:b/>
                <w:bCs/>
                <w:color w:val="000000"/>
                <w:sz w:val="18"/>
                <w:szCs w:val="18"/>
              </w:rPr>
            </w:pPr>
            <w:r w:rsidRPr="001C277A">
              <w:rPr>
                <w:rFonts w:ascii="Arial Narrow" w:hAnsi="Arial Narrow" w:cs="Arial"/>
                <w:b/>
                <w:bCs/>
                <w:color w:val="000000"/>
                <w:sz w:val="18"/>
                <w:szCs w:val="18"/>
              </w:rPr>
              <w:t>Shareholder-type fees and</w:t>
            </w:r>
          </w:p>
        </w:tc>
      </w:tr>
      <w:tr w:rsidR="00C02F67" w:rsidRPr="001C277A" w14:paraId="1176B667" w14:textId="77777777" w:rsidTr="00167F99">
        <w:trPr>
          <w:trHeight w:val="620"/>
        </w:trPr>
        <w:tc>
          <w:tcPr>
            <w:tcW w:w="4338" w:type="dxa"/>
            <w:tcBorders>
              <w:top w:val="nil"/>
              <w:bottom w:val="nil"/>
            </w:tcBorders>
          </w:tcPr>
          <w:p w14:paraId="7B621B65" w14:textId="77777777" w:rsidR="00C02F67" w:rsidRPr="001C277A" w:rsidRDefault="00C02F67" w:rsidP="00126934">
            <w:pPr>
              <w:autoSpaceDE w:val="0"/>
              <w:autoSpaceDN w:val="0"/>
              <w:adjustRightInd w:val="0"/>
              <w:jc w:val="center"/>
              <w:rPr>
                <w:rFonts w:cs="Arial"/>
                <w:b/>
                <w:bCs/>
                <w:color w:val="000000"/>
                <w:sz w:val="20"/>
                <w:szCs w:val="20"/>
              </w:rPr>
            </w:pPr>
          </w:p>
        </w:tc>
        <w:tc>
          <w:tcPr>
            <w:tcW w:w="900" w:type="dxa"/>
            <w:vAlign w:val="center"/>
          </w:tcPr>
          <w:p w14:paraId="7DC1FE67" w14:textId="77777777" w:rsidR="00C02F67" w:rsidRPr="001C277A" w:rsidRDefault="00C02F67" w:rsidP="00C02F67">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As a %</w:t>
            </w:r>
          </w:p>
        </w:tc>
        <w:tc>
          <w:tcPr>
            <w:tcW w:w="990" w:type="dxa"/>
            <w:vAlign w:val="center"/>
          </w:tcPr>
          <w:p w14:paraId="1649BA6B" w14:textId="77777777" w:rsidR="00C02F67" w:rsidRPr="001C277A" w:rsidRDefault="00C02F67" w:rsidP="00C84F39">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Per $1000</w:t>
            </w:r>
          </w:p>
        </w:tc>
        <w:tc>
          <w:tcPr>
            <w:tcW w:w="990" w:type="dxa"/>
            <w:vAlign w:val="center"/>
          </w:tcPr>
          <w:p w14:paraId="25815E3C" w14:textId="77777777" w:rsidR="00C02F67" w:rsidRPr="001C277A" w:rsidRDefault="00C02F67" w:rsidP="00C02F67">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As a %</w:t>
            </w:r>
          </w:p>
        </w:tc>
        <w:tc>
          <w:tcPr>
            <w:tcW w:w="900" w:type="dxa"/>
            <w:vAlign w:val="center"/>
          </w:tcPr>
          <w:p w14:paraId="6F08E296" w14:textId="77777777" w:rsidR="00C02F67" w:rsidRPr="001C277A" w:rsidRDefault="00126934" w:rsidP="00C84F39">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Per $1000</w:t>
            </w:r>
          </w:p>
        </w:tc>
        <w:tc>
          <w:tcPr>
            <w:tcW w:w="1350" w:type="dxa"/>
            <w:tcBorders>
              <w:top w:val="nil"/>
              <w:bottom w:val="nil"/>
            </w:tcBorders>
          </w:tcPr>
          <w:p w14:paraId="42E97693" w14:textId="77777777" w:rsidR="00C02F67" w:rsidRPr="001C277A" w:rsidRDefault="00126934" w:rsidP="00126934">
            <w:pPr>
              <w:autoSpaceDE w:val="0"/>
              <w:autoSpaceDN w:val="0"/>
              <w:adjustRightInd w:val="0"/>
              <w:rPr>
                <w:rFonts w:ascii="Arial Narrow" w:hAnsi="Arial Narrow" w:cs="Arial"/>
                <w:b/>
                <w:bCs/>
                <w:color w:val="000000"/>
                <w:sz w:val="18"/>
                <w:szCs w:val="18"/>
              </w:rPr>
            </w:pPr>
            <w:r w:rsidRPr="001C277A">
              <w:rPr>
                <w:rFonts w:ascii="Arial Narrow" w:hAnsi="Arial Narrow" w:cs="Arial"/>
                <w:b/>
                <w:bCs/>
                <w:color w:val="000000"/>
                <w:sz w:val="18"/>
                <w:szCs w:val="18"/>
              </w:rPr>
              <w:t>Transfer-type restrictions</w:t>
            </w:r>
          </w:p>
        </w:tc>
      </w:tr>
      <w:tr w:rsidR="00167F99" w:rsidRPr="001C277A" w14:paraId="2FCB2CB9" w14:textId="77777777" w:rsidTr="00167F99">
        <w:trPr>
          <w:trHeight w:val="320"/>
        </w:trPr>
        <w:tc>
          <w:tcPr>
            <w:tcW w:w="4338" w:type="dxa"/>
            <w:tcBorders>
              <w:top w:val="nil"/>
              <w:bottom w:val="single" w:sz="4" w:space="0" w:color="auto"/>
            </w:tcBorders>
            <w:shd w:val="clear" w:color="auto" w:fill="000000"/>
            <w:vAlign w:val="center"/>
          </w:tcPr>
          <w:p w14:paraId="7D80F793" w14:textId="207F8828" w:rsidR="00167F99" w:rsidRPr="001C277A" w:rsidRDefault="00167F99" w:rsidP="00167F99">
            <w:pPr>
              <w:autoSpaceDE w:val="0"/>
              <w:autoSpaceDN w:val="0"/>
              <w:adjustRightInd w:val="0"/>
              <w:rPr>
                <w:rFonts w:ascii="Arial Narrow" w:hAnsi="Arial Narrow" w:cs="Arial"/>
                <w:b/>
                <w:bCs/>
                <w:color w:val="FFFFFF"/>
                <w:sz w:val="18"/>
                <w:szCs w:val="20"/>
              </w:rPr>
            </w:pPr>
            <w:r w:rsidRPr="001C277A">
              <w:rPr>
                <w:rFonts w:ascii="Arial Narrow" w:hAnsi="Arial Narrow" w:cs="Arial"/>
                <w:b/>
                <w:bCs/>
                <w:color w:val="FFFFFF"/>
                <w:sz w:val="18"/>
                <w:szCs w:val="20"/>
              </w:rPr>
              <w:t>Equity Funds</w:t>
            </w:r>
          </w:p>
        </w:tc>
        <w:tc>
          <w:tcPr>
            <w:tcW w:w="900" w:type="dxa"/>
            <w:tcBorders>
              <w:bottom w:val="single" w:sz="4" w:space="0" w:color="auto"/>
            </w:tcBorders>
            <w:shd w:val="clear" w:color="auto" w:fill="000000"/>
            <w:vAlign w:val="center"/>
          </w:tcPr>
          <w:p w14:paraId="57A6C873"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bottom w:val="single" w:sz="4" w:space="0" w:color="auto"/>
            </w:tcBorders>
            <w:shd w:val="clear" w:color="auto" w:fill="000000"/>
            <w:vAlign w:val="center"/>
          </w:tcPr>
          <w:p w14:paraId="3464BBF8"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bottom w:val="single" w:sz="4" w:space="0" w:color="auto"/>
            </w:tcBorders>
            <w:shd w:val="clear" w:color="auto" w:fill="000000"/>
            <w:vAlign w:val="center"/>
          </w:tcPr>
          <w:p w14:paraId="178BEAEB"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00" w:type="dxa"/>
            <w:tcBorders>
              <w:bottom w:val="single" w:sz="4" w:space="0" w:color="auto"/>
            </w:tcBorders>
            <w:shd w:val="clear" w:color="auto" w:fill="000000"/>
            <w:vAlign w:val="center"/>
          </w:tcPr>
          <w:p w14:paraId="6DBFFA55"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1350" w:type="dxa"/>
            <w:tcBorders>
              <w:top w:val="nil"/>
              <w:bottom w:val="single" w:sz="4" w:space="0" w:color="auto"/>
            </w:tcBorders>
            <w:shd w:val="clear" w:color="auto" w:fill="000000"/>
            <w:vAlign w:val="center"/>
          </w:tcPr>
          <w:p w14:paraId="78F37B39"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r>
      <w:tr w:rsidR="00167F99" w:rsidRPr="001C277A" w14:paraId="43329B18"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59E97877" w14:textId="0774C2D6"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American Funds Growth Fund of Amer R6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BF4592" w14:textId="25633A6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0DCD1CD" w14:textId="6AC5214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695E58" w14:textId="279B0ED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552AA4" w14:textId="02952AC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519E4C" w14:textId="2F977BA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2C3A9248"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B6C4B" w14:textId="5E0AA30E"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DFA International Large Cap Growth</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62F31" w14:textId="591E343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0.29%</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D629C" w14:textId="76C5090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$2.90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CE598" w14:textId="7FF91BF9"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0.29%</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0D9DB" w14:textId="12B32129"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$2.90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24DAB" w14:textId="7D0BE58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67A0B51D"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F476C68" w14:textId="1B50F52D"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Fidelity Large Cap Value Index</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1681F6" w14:textId="0BDA787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848C56" w14:textId="574B70A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08B482" w14:textId="042C815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019D0C" w14:textId="3A6AD0EE"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F28336" w14:textId="2EDE0AA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5FBEE508"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24B6C" w14:textId="39655D71"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iShares Russell Mid-Cap Index 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45555" w14:textId="00BE835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A9BAF" w14:textId="27C20297"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36170" w14:textId="58EA2E1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DEFDC" w14:textId="2AF7793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7B386" w14:textId="72F22C5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79B78F12"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DEDAC2A" w14:textId="11F8AA05"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 xml:space="preserve">Schwab </w:t>
            </w:r>
            <w:proofErr w:type="spellStart"/>
            <w:r w:rsidRPr="001C277A">
              <w:rPr>
                <w:rFonts w:ascii="Arial Narrow" w:hAnsi="Arial Narrow" w:cs="Arial"/>
                <w:b/>
                <w:bCs/>
                <w:sz w:val="18"/>
                <w:szCs w:val="20"/>
              </w:rPr>
              <w:t>Fdmtl</w:t>
            </w:r>
            <w:proofErr w:type="spellEnd"/>
            <w:r w:rsidRPr="001C277A">
              <w:rPr>
                <w:rFonts w:ascii="Arial Narrow" w:hAnsi="Arial Narrow" w:cs="Arial"/>
                <w:b/>
                <w:bCs/>
                <w:sz w:val="18"/>
                <w:szCs w:val="20"/>
              </w:rPr>
              <w:t xml:space="preserve"> Intl Lg Co </w:t>
            </w:r>
            <w:proofErr w:type="spellStart"/>
            <w:r w:rsidRPr="001C277A">
              <w:rPr>
                <w:rFonts w:ascii="Arial Narrow" w:hAnsi="Arial Narrow" w:cs="Arial"/>
                <w:b/>
                <w:bCs/>
                <w:sz w:val="18"/>
                <w:szCs w:val="20"/>
              </w:rPr>
              <w:t>Idx</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F2AD89" w14:textId="0B9F2B6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F843C0" w14:textId="7450E0F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4BF492" w14:textId="5DD42A31"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F23405" w14:textId="2F63836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C27963" w14:textId="17B3D11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02434C53"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1601C" w14:textId="6AD3C672"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State Street Equity 500 Index K</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0E796" w14:textId="5970E96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16864" w14:textId="5BB69A5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$1.00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EAAC1" w14:textId="074BBC7F"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0.02%</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99390" w14:textId="7F8B132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EF96B" w14:textId="156A8FCB"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40C21151"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35E4307" w14:textId="701F1821"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 xml:space="preserve">State Street Hedged Intl Dev Eq </w:t>
            </w:r>
            <w:proofErr w:type="spellStart"/>
            <w:r w:rsidRPr="001C277A">
              <w:rPr>
                <w:rFonts w:ascii="Arial Narrow" w:hAnsi="Arial Narrow" w:cs="Arial"/>
                <w:b/>
                <w:bCs/>
                <w:sz w:val="18"/>
                <w:szCs w:val="20"/>
              </w:rPr>
              <w:t>Idx</w:t>
            </w:r>
            <w:proofErr w:type="spellEnd"/>
            <w:r w:rsidRPr="001C277A">
              <w:rPr>
                <w:rFonts w:ascii="Arial Narrow" w:hAnsi="Arial Narrow" w:cs="Arial"/>
                <w:b/>
                <w:bCs/>
                <w:sz w:val="18"/>
                <w:szCs w:val="20"/>
              </w:rPr>
              <w:t xml:space="preserve"> K</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3E458D" w14:textId="73EDA3AB"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FEFC2C" w14:textId="7EACD6B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1D2EE7" w14:textId="47B65DEF"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9D24C3" w14:textId="3A3E74D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F984CAA" w14:textId="0916105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3EF3C6B2"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102C1" w14:textId="291A83A4"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 xml:space="preserve">TIAA-CREF Large-Cap Gr </w:t>
            </w:r>
            <w:proofErr w:type="spellStart"/>
            <w:r w:rsidRPr="001C277A">
              <w:rPr>
                <w:rFonts w:ascii="Arial Narrow" w:hAnsi="Arial Narrow" w:cs="Arial"/>
                <w:b/>
                <w:bCs/>
                <w:sz w:val="18"/>
                <w:szCs w:val="20"/>
              </w:rPr>
              <w:t>Idx</w:t>
            </w:r>
            <w:proofErr w:type="spellEnd"/>
            <w:r w:rsidRPr="001C277A">
              <w:rPr>
                <w:rFonts w:ascii="Arial Narrow" w:hAnsi="Arial Narrow" w:cs="Arial"/>
                <w:b/>
                <w:bCs/>
                <w:sz w:val="18"/>
                <w:szCs w:val="20"/>
              </w:rPr>
              <w:t xml:space="preserve"> </w:t>
            </w:r>
            <w:proofErr w:type="spellStart"/>
            <w:r w:rsidRPr="001C277A">
              <w:rPr>
                <w:rFonts w:ascii="Arial Narrow" w:hAnsi="Arial Narrow" w:cs="Arial"/>
                <w:b/>
                <w:bCs/>
                <w:sz w:val="18"/>
                <w:szCs w:val="20"/>
              </w:rPr>
              <w:t>Instl</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39095" w14:textId="7938F06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EA8AD" w14:textId="186BD11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9DB20" w14:textId="7B40932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83225" w14:textId="775A236B"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86EEA" w14:textId="580DC19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0B1EA1FB"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E250E95" w14:textId="3138D574"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 xml:space="preserve">TIAA-CREF Small-Cap Blend </w:t>
            </w:r>
            <w:proofErr w:type="spellStart"/>
            <w:r w:rsidRPr="001C277A">
              <w:rPr>
                <w:rFonts w:ascii="Arial Narrow" w:hAnsi="Arial Narrow" w:cs="Arial"/>
                <w:b/>
                <w:bCs/>
                <w:sz w:val="18"/>
                <w:szCs w:val="20"/>
              </w:rPr>
              <w:t>Idx</w:t>
            </w:r>
            <w:proofErr w:type="spellEnd"/>
            <w:r w:rsidRPr="001C277A">
              <w:rPr>
                <w:rFonts w:ascii="Arial Narrow" w:hAnsi="Arial Narrow" w:cs="Arial"/>
                <w:b/>
                <w:bCs/>
                <w:sz w:val="18"/>
                <w:szCs w:val="20"/>
              </w:rPr>
              <w:t xml:space="preserve"> Inst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AD3941" w14:textId="6C61909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7A4542" w14:textId="75F5D031"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BFDC3A" w14:textId="7240DD1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708272" w14:textId="3D6D92FE"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9494666" w14:textId="2FACEE9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45AC6C54"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3AB5F" w14:textId="02C4AE28"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 xml:space="preserve">Vanguard Emerging Mkts Stock </w:t>
            </w:r>
            <w:proofErr w:type="spellStart"/>
            <w:r w:rsidRPr="001C277A">
              <w:rPr>
                <w:rFonts w:ascii="Arial Narrow" w:hAnsi="Arial Narrow" w:cs="Arial"/>
                <w:b/>
                <w:bCs/>
                <w:sz w:val="18"/>
                <w:szCs w:val="20"/>
              </w:rPr>
              <w:t>Idx</w:t>
            </w:r>
            <w:proofErr w:type="spellEnd"/>
            <w:r w:rsidRPr="001C277A">
              <w:rPr>
                <w:rFonts w:ascii="Arial Narrow" w:hAnsi="Arial Narrow" w:cs="Arial"/>
                <w:b/>
                <w:bCs/>
                <w:sz w:val="18"/>
                <w:szCs w:val="20"/>
              </w:rPr>
              <w:t xml:space="preserve"> Adm</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21E20" w14:textId="4E59EDA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0.14%</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A7776" w14:textId="6AFDFCB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$1.40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5A86F" w14:textId="2CD44D4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0.14%</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B7780" w14:textId="67A44B37"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$1.40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446CA" w14:textId="24E67B5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701FE228"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B74F00E" w14:textId="1233FB37"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Vanguard Mid-Cap Growth Index Admiral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2A1FED" w14:textId="6F3928FF"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B17B4F1" w14:textId="7EE6AB6E"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856654" w14:textId="724B914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B38A1F" w14:textId="5810FD1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9C6866E" w14:textId="1EC9A93B"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0BB45157" w14:textId="77777777" w:rsidTr="00CA5932">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F2C3A" w14:textId="1FA12B35"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Vanguard Mid-Cap Value Index Admiral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07A66" w14:textId="0503575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45FEA" w14:textId="6C3B4CB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06B13" w14:textId="39FB290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8944B" w14:textId="7362BB7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DB34D" w14:textId="2DBE21E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CA5932" w:rsidRPr="001C277A" w14:paraId="71AD1B21" w14:textId="77777777" w:rsidTr="00CA5932">
        <w:trPr>
          <w:trHeight w:val="530"/>
        </w:trPr>
        <w:tc>
          <w:tcPr>
            <w:tcW w:w="4338" w:type="dxa"/>
            <w:tcBorders>
              <w:top w:val="single" w:sz="4" w:space="0" w:color="auto"/>
              <w:bottom w:val="nil"/>
            </w:tcBorders>
            <w:vAlign w:val="bottom"/>
          </w:tcPr>
          <w:p w14:paraId="764B464C" w14:textId="77777777" w:rsidR="00CA5932" w:rsidRPr="001C277A" w:rsidRDefault="00CA5932" w:rsidP="00923B68">
            <w:pPr>
              <w:autoSpaceDE w:val="0"/>
              <w:autoSpaceDN w:val="0"/>
              <w:adjustRightInd w:val="0"/>
              <w:jc w:val="center"/>
              <w:rPr>
                <w:rFonts w:ascii="Arial Narrow" w:hAnsi="Arial Narrow" w:cs="Arial"/>
                <w:b/>
                <w:bCs/>
                <w:color w:val="000000"/>
                <w:sz w:val="20"/>
                <w:szCs w:val="20"/>
              </w:rPr>
            </w:pPr>
            <w:r w:rsidRPr="001C277A">
              <w:rPr>
                <w:rFonts w:ascii="Arial Narrow" w:hAnsi="Arial Narrow" w:cs="Arial"/>
                <w:b/>
                <w:bCs/>
                <w:color w:val="000000"/>
                <w:sz w:val="20"/>
                <w:szCs w:val="20"/>
              </w:rPr>
              <w:lastRenderedPageBreak/>
              <w:t>Investment option</w:t>
            </w:r>
          </w:p>
        </w:tc>
        <w:tc>
          <w:tcPr>
            <w:tcW w:w="1890" w:type="dxa"/>
            <w:gridSpan w:val="2"/>
            <w:tcBorders>
              <w:top w:val="single" w:sz="4" w:space="0" w:color="auto"/>
            </w:tcBorders>
          </w:tcPr>
          <w:p w14:paraId="40D4CE4A" w14:textId="77777777" w:rsidR="00CA5932" w:rsidRPr="001C277A" w:rsidRDefault="00CA5932" w:rsidP="00923B68">
            <w:pPr>
              <w:autoSpaceDE w:val="0"/>
              <w:autoSpaceDN w:val="0"/>
              <w:adjustRightInd w:val="0"/>
              <w:jc w:val="center"/>
              <w:rPr>
                <w:rFonts w:ascii="Arial Narrow" w:hAnsi="Arial Narrow" w:cs="Arial"/>
                <w:b/>
                <w:bCs/>
                <w:color w:val="000000"/>
                <w:sz w:val="18"/>
                <w:szCs w:val="18"/>
              </w:rPr>
            </w:pPr>
            <w:r w:rsidRPr="001C277A">
              <w:rPr>
                <w:rFonts w:ascii="Arial Narrow" w:hAnsi="Arial Narrow" w:cs="Arial"/>
                <w:b/>
                <w:bCs/>
                <w:color w:val="000000"/>
                <w:sz w:val="18"/>
                <w:szCs w:val="18"/>
              </w:rPr>
              <w:t>Total annual operating expenses</w:t>
            </w:r>
          </w:p>
        </w:tc>
        <w:tc>
          <w:tcPr>
            <w:tcW w:w="1890" w:type="dxa"/>
            <w:gridSpan w:val="2"/>
            <w:tcBorders>
              <w:top w:val="single" w:sz="4" w:space="0" w:color="auto"/>
            </w:tcBorders>
          </w:tcPr>
          <w:p w14:paraId="3EFAD050" w14:textId="77777777" w:rsidR="00CA5932" w:rsidRPr="001C277A" w:rsidRDefault="00CA5932" w:rsidP="00923B68">
            <w:pPr>
              <w:autoSpaceDE w:val="0"/>
              <w:autoSpaceDN w:val="0"/>
              <w:adjustRightInd w:val="0"/>
              <w:jc w:val="center"/>
              <w:rPr>
                <w:rFonts w:ascii="Arial Narrow" w:hAnsi="Arial Narrow" w:cs="Arial"/>
                <w:b/>
                <w:bCs/>
                <w:color w:val="000000"/>
                <w:sz w:val="18"/>
                <w:szCs w:val="18"/>
              </w:rPr>
            </w:pPr>
            <w:r w:rsidRPr="001C277A">
              <w:rPr>
                <w:rFonts w:ascii="Arial Narrow" w:hAnsi="Arial Narrow" w:cs="Arial"/>
                <w:b/>
                <w:bCs/>
                <w:color w:val="000000"/>
                <w:sz w:val="18"/>
                <w:szCs w:val="18"/>
              </w:rPr>
              <w:t>Net operating expenses</w:t>
            </w:r>
          </w:p>
        </w:tc>
        <w:tc>
          <w:tcPr>
            <w:tcW w:w="1350" w:type="dxa"/>
            <w:tcBorders>
              <w:top w:val="single" w:sz="4" w:space="0" w:color="auto"/>
              <w:bottom w:val="nil"/>
            </w:tcBorders>
            <w:vAlign w:val="bottom"/>
          </w:tcPr>
          <w:p w14:paraId="37166853" w14:textId="77777777" w:rsidR="00CA5932" w:rsidRPr="001C277A" w:rsidRDefault="00CA5932" w:rsidP="00923B68">
            <w:pPr>
              <w:autoSpaceDE w:val="0"/>
              <w:autoSpaceDN w:val="0"/>
              <w:adjustRightInd w:val="0"/>
              <w:rPr>
                <w:rFonts w:ascii="Arial Narrow" w:hAnsi="Arial Narrow" w:cs="Arial"/>
                <w:b/>
                <w:bCs/>
                <w:color w:val="000000"/>
                <w:sz w:val="18"/>
                <w:szCs w:val="18"/>
              </w:rPr>
            </w:pPr>
            <w:r w:rsidRPr="001C277A">
              <w:rPr>
                <w:rFonts w:ascii="Arial Narrow" w:hAnsi="Arial Narrow" w:cs="Arial"/>
                <w:b/>
                <w:bCs/>
                <w:color w:val="000000"/>
                <w:sz w:val="18"/>
                <w:szCs w:val="18"/>
              </w:rPr>
              <w:t>Shareholder-type fees and</w:t>
            </w:r>
          </w:p>
        </w:tc>
      </w:tr>
      <w:tr w:rsidR="00CA5932" w:rsidRPr="001C277A" w14:paraId="082871F0" w14:textId="77777777" w:rsidTr="00923B68">
        <w:trPr>
          <w:trHeight w:val="620"/>
        </w:trPr>
        <w:tc>
          <w:tcPr>
            <w:tcW w:w="4338" w:type="dxa"/>
            <w:tcBorders>
              <w:top w:val="nil"/>
              <w:bottom w:val="nil"/>
            </w:tcBorders>
          </w:tcPr>
          <w:p w14:paraId="18F6BF2C" w14:textId="77777777" w:rsidR="00CA5932" w:rsidRPr="001C277A" w:rsidRDefault="00CA5932" w:rsidP="00923B68">
            <w:pPr>
              <w:autoSpaceDE w:val="0"/>
              <w:autoSpaceDN w:val="0"/>
              <w:adjustRightInd w:val="0"/>
              <w:jc w:val="center"/>
              <w:rPr>
                <w:rFonts w:cs="Arial"/>
                <w:b/>
                <w:bCs/>
                <w:color w:val="000000"/>
                <w:sz w:val="20"/>
                <w:szCs w:val="20"/>
              </w:rPr>
            </w:pPr>
          </w:p>
        </w:tc>
        <w:tc>
          <w:tcPr>
            <w:tcW w:w="900" w:type="dxa"/>
            <w:vAlign w:val="center"/>
          </w:tcPr>
          <w:p w14:paraId="4D10A9F7" w14:textId="77777777" w:rsidR="00CA5932" w:rsidRPr="001C277A" w:rsidRDefault="00CA5932" w:rsidP="00923B68">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As a %</w:t>
            </w:r>
          </w:p>
        </w:tc>
        <w:tc>
          <w:tcPr>
            <w:tcW w:w="990" w:type="dxa"/>
            <w:vAlign w:val="center"/>
          </w:tcPr>
          <w:p w14:paraId="13553E4D" w14:textId="77777777" w:rsidR="00CA5932" w:rsidRPr="001C277A" w:rsidRDefault="00CA5932" w:rsidP="00923B68">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Per $1000</w:t>
            </w:r>
          </w:p>
        </w:tc>
        <w:tc>
          <w:tcPr>
            <w:tcW w:w="990" w:type="dxa"/>
            <w:vAlign w:val="center"/>
          </w:tcPr>
          <w:p w14:paraId="4843D415" w14:textId="77777777" w:rsidR="00CA5932" w:rsidRPr="001C277A" w:rsidRDefault="00CA5932" w:rsidP="00923B68">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As a %</w:t>
            </w:r>
          </w:p>
        </w:tc>
        <w:tc>
          <w:tcPr>
            <w:tcW w:w="900" w:type="dxa"/>
            <w:vAlign w:val="center"/>
          </w:tcPr>
          <w:p w14:paraId="6D2C07BD" w14:textId="77777777" w:rsidR="00CA5932" w:rsidRPr="001C277A" w:rsidRDefault="00CA5932" w:rsidP="00923B68">
            <w:pPr>
              <w:autoSpaceDE w:val="0"/>
              <w:autoSpaceDN w:val="0"/>
              <w:adjustRightInd w:val="0"/>
              <w:jc w:val="center"/>
              <w:rPr>
                <w:rFonts w:ascii="Arial Narrow" w:hAnsi="Arial Narrow" w:cs="Arial"/>
                <w:bCs/>
                <w:color w:val="000000"/>
                <w:sz w:val="18"/>
                <w:szCs w:val="18"/>
              </w:rPr>
            </w:pPr>
            <w:r w:rsidRPr="001C277A">
              <w:rPr>
                <w:rFonts w:ascii="Arial Narrow" w:hAnsi="Arial Narrow" w:cs="Arial"/>
                <w:bCs/>
                <w:color w:val="000000"/>
                <w:sz w:val="18"/>
                <w:szCs w:val="18"/>
              </w:rPr>
              <w:t>Per $1000</w:t>
            </w:r>
          </w:p>
        </w:tc>
        <w:tc>
          <w:tcPr>
            <w:tcW w:w="1350" w:type="dxa"/>
            <w:tcBorders>
              <w:top w:val="nil"/>
              <w:bottom w:val="nil"/>
            </w:tcBorders>
          </w:tcPr>
          <w:p w14:paraId="4D31BCE5" w14:textId="77777777" w:rsidR="00CA5932" w:rsidRPr="001C277A" w:rsidRDefault="00CA5932" w:rsidP="00923B68">
            <w:pPr>
              <w:autoSpaceDE w:val="0"/>
              <w:autoSpaceDN w:val="0"/>
              <w:adjustRightInd w:val="0"/>
              <w:rPr>
                <w:rFonts w:ascii="Arial Narrow" w:hAnsi="Arial Narrow" w:cs="Arial"/>
                <w:b/>
                <w:bCs/>
                <w:color w:val="000000"/>
                <w:sz w:val="18"/>
                <w:szCs w:val="18"/>
              </w:rPr>
            </w:pPr>
            <w:r w:rsidRPr="001C277A">
              <w:rPr>
                <w:rFonts w:ascii="Arial Narrow" w:hAnsi="Arial Narrow" w:cs="Arial"/>
                <w:b/>
                <w:bCs/>
                <w:color w:val="000000"/>
                <w:sz w:val="18"/>
                <w:szCs w:val="18"/>
              </w:rPr>
              <w:t>Transfer-type restrictions</w:t>
            </w:r>
          </w:p>
        </w:tc>
      </w:tr>
      <w:tr w:rsidR="00CA5932" w:rsidRPr="001C277A" w14:paraId="5DD93A08" w14:textId="77777777" w:rsidTr="00923B68">
        <w:trPr>
          <w:trHeight w:val="320"/>
        </w:trPr>
        <w:tc>
          <w:tcPr>
            <w:tcW w:w="4338" w:type="dxa"/>
            <w:tcBorders>
              <w:top w:val="nil"/>
              <w:bottom w:val="single" w:sz="4" w:space="0" w:color="auto"/>
            </w:tcBorders>
            <w:shd w:val="clear" w:color="auto" w:fill="000000"/>
            <w:vAlign w:val="center"/>
          </w:tcPr>
          <w:p w14:paraId="12A7C860" w14:textId="583E3F4A" w:rsidR="00CA5932" w:rsidRPr="001C277A" w:rsidRDefault="00CA5932" w:rsidP="00923B68">
            <w:pPr>
              <w:autoSpaceDE w:val="0"/>
              <w:autoSpaceDN w:val="0"/>
              <w:adjustRightInd w:val="0"/>
              <w:rPr>
                <w:rFonts w:ascii="Arial Narrow" w:hAnsi="Arial Narrow" w:cs="Arial"/>
                <w:b/>
                <w:bCs/>
                <w:color w:val="FFFFFF"/>
                <w:sz w:val="18"/>
                <w:szCs w:val="20"/>
              </w:rPr>
            </w:pPr>
            <w:r w:rsidRPr="001C277A">
              <w:rPr>
                <w:rFonts w:ascii="Arial Narrow" w:hAnsi="Arial Narrow" w:cs="Arial"/>
                <w:b/>
                <w:bCs/>
                <w:color w:val="FFFFFF"/>
                <w:sz w:val="18"/>
                <w:szCs w:val="20"/>
              </w:rPr>
              <w:t>Equity Funds (continued)</w:t>
            </w:r>
          </w:p>
        </w:tc>
        <w:tc>
          <w:tcPr>
            <w:tcW w:w="900" w:type="dxa"/>
            <w:tcBorders>
              <w:bottom w:val="single" w:sz="4" w:space="0" w:color="auto"/>
            </w:tcBorders>
            <w:shd w:val="clear" w:color="auto" w:fill="000000"/>
            <w:vAlign w:val="center"/>
          </w:tcPr>
          <w:p w14:paraId="49BEC997" w14:textId="77777777" w:rsidR="00CA5932" w:rsidRPr="001C277A" w:rsidRDefault="00CA5932" w:rsidP="00923B68">
            <w:pPr>
              <w:autoSpaceDE w:val="0"/>
              <w:autoSpaceDN w:val="0"/>
              <w:adjustRightInd w:val="0"/>
              <w:rPr>
                <w:rFonts w:ascii="Arial Narrow" w:hAnsi="Arial Narrow" w:cs="Arial"/>
                <w:b/>
                <w:bCs/>
                <w:color w:val="FFFFFF"/>
                <w:sz w:val="18"/>
                <w:szCs w:val="18"/>
              </w:rPr>
            </w:pPr>
          </w:p>
        </w:tc>
        <w:tc>
          <w:tcPr>
            <w:tcW w:w="990" w:type="dxa"/>
            <w:tcBorders>
              <w:bottom w:val="single" w:sz="4" w:space="0" w:color="auto"/>
            </w:tcBorders>
            <w:shd w:val="clear" w:color="auto" w:fill="000000"/>
            <w:vAlign w:val="center"/>
          </w:tcPr>
          <w:p w14:paraId="374880F8" w14:textId="77777777" w:rsidR="00CA5932" w:rsidRPr="001C277A" w:rsidRDefault="00CA5932" w:rsidP="00923B68">
            <w:pPr>
              <w:autoSpaceDE w:val="0"/>
              <w:autoSpaceDN w:val="0"/>
              <w:adjustRightInd w:val="0"/>
              <w:rPr>
                <w:rFonts w:ascii="Arial Narrow" w:hAnsi="Arial Narrow" w:cs="Arial"/>
                <w:b/>
                <w:bCs/>
                <w:color w:val="FFFFFF"/>
                <w:sz w:val="18"/>
                <w:szCs w:val="18"/>
              </w:rPr>
            </w:pPr>
          </w:p>
        </w:tc>
        <w:tc>
          <w:tcPr>
            <w:tcW w:w="990" w:type="dxa"/>
            <w:tcBorders>
              <w:bottom w:val="single" w:sz="4" w:space="0" w:color="auto"/>
            </w:tcBorders>
            <w:shd w:val="clear" w:color="auto" w:fill="000000"/>
            <w:vAlign w:val="center"/>
          </w:tcPr>
          <w:p w14:paraId="73887F22" w14:textId="77777777" w:rsidR="00CA5932" w:rsidRPr="001C277A" w:rsidRDefault="00CA5932" w:rsidP="00923B68">
            <w:pPr>
              <w:autoSpaceDE w:val="0"/>
              <w:autoSpaceDN w:val="0"/>
              <w:adjustRightInd w:val="0"/>
              <w:rPr>
                <w:rFonts w:ascii="Arial Narrow" w:hAnsi="Arial Narrow" w:cs="Arial"/>
                <w:b/>
                <w:bCs/>
                <w:color w:val="FFFFFF"/>
                <w:sz w:val="18"/>
                <w:szCs w:val="18"/>
              </w:rPr>
            </w:pPr>
          </w:p>
        </w:tc>
        <w:tc>
          <w:tcPr>
            <w:tcW w:w="900" w:type="dxa"/>
            <w:tcBorders>
              <w:bottom w:val="single" w:sz="4" w:space="0" w:color="auto"/>
            </w:tcBorders>
            <w:shd w:val="clear" w:color="auto" w:fill="000000"/>
            <w:vAlign w:val="center"/>
          </w:tcPr>
          <w:p w14:paraId="568241C6" w14:textId="77777777" w:rsidR="00CA5932" w:rsidRPr="001C277A" w:rsidRDefault="00CA5932" w:rsidP="00923B68">
            <w:pPr>
              <w:autoSpaceDE w:val="0"/>
              <w:autoSpaceDN w:val="0"/>
              <w:adjustRightInd w:val="0"/>
              <w:rPr>
                <w:rFonts w:ascii="Arial Narrow" w:hAnsi="Arial Narrow" w:cs="Arial"/>
                <w:b/>
                <w:bCs/>
                <w:color w:val="FFFFFF"/>
                <w:sz w:val="18"/>
                <w:szCs w:val="18"/>
              </w:rPr>
            </w:pPr>
          </w:p>
        </w:tc>
        <w:tc>
          <w:tcPr>
            <w:tcW w:w="1350" w:type="dxa"/>
            <w:tcBorders>
              <w:top w:val="nil"/>
              <w:bottom w:val="single" w:sz="4" w:space="0" w:color="auto"/>
            </w:tcBorders>
            <w:shd w:val="clear" w:color="auto" w:fill="000000"/>
            <w:vAlign w:val="center"/>
          </w:tcPr>
          <w:p w14:paraId="5E221DAC" w14:textId="77777777" w:rsidR="00CA5932" w:rsidRPr="001C277A" w:rsidRDefault="00CA5932" w:rsidP="00923B68">
            <w:pPr>
              <w:autoSpaceDE w:val="0"/>
              <w:autoSpaceDN w:val="0"/>
              <w:adjustRightInd w:val="0"/>
              <w:rPr>
                <w:rFonts w:ascii="Arial Narrow" w:hAnsi="Arial Narrow" w:cs="Arial"/>
                <w:b/>
                <w:bCs/>
                <w:color w:val="FFFFFF"/>
                <w:sz w:val="18"/>
                <w:szCs w:val="18"/>
              </w:rPr>
            </w:pPr>
          </w:p>
        </w:tc>
      </w:tr>
      <w:tr w:rsidR="00167F99" w:rsidRPr="001C277A" w14:paraId="49A0C31B"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069BEC8E" w14:textId="3769AD4A"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Vanguard Small Cap Growth Index Admiral</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CEB93D" w14:textId="6C29B87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3A50EBB" w14:textId="17976DA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E331744" w14:textId="27556147"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064CC" w14:textId="1181A59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4F79877" w14:textId="35B9EED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7A70F827"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3971E" w14:textId="5AECFA69"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Vanguard Small Cap Value Index Admiral</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9342F" w14:textId="504F83DB"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3EA8E" w14:textId="1582501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A309C" w14:textId="43481D0F"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7C782" w14:textId="408FAEF4"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DA35E" w14:textId="63378CB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3A50AE97" w14:textId="77777777" w:rsidTr="00167F99">
        <w:trPr>
          <w:trHeight w:hRule="exact" w:val="320"/>
        </w:trPr>
        <w:tc>
          <w:tcPr>
            <w:tcW w:w="4338" w:type="dxa"/>
            <w:tcBorders>
              <w:top w:val="single" w:sz="4" w:space="0" w:color="auto"/>
              <w:left w:val="single" w:sz="4" w:space="0" w:color="auto"/>
              <w:bottom w:val="single" w:sz="4" w:space="0" w:color="auto"/>
              <w:right w:val="single" w:sz="4" w:space="0" w:color="auto"/>
            </w:tcBorders>
            <w:shd w:val="clear" w:color="auto" w:fill="000000"/>
            <w:vAlign w:val="center"/>
          </w:tcPr>
          <w:p w14:paraId="305C0443" w14:textId="4446AA54" w:rsidR="00167F99" w:rsidRPr="001C277A" w:rsidRDefault="00167F99" w:rsidP="00167F99">
            <w:pPr>
              <w:autoSpaceDE w:val="0"/>
              <w:autoSpaceDN w:val="0"/>
              <w:adjustRightInd w:val="0"/>
              <w:rPr>
                <w:rFonts w:ascii="Arial Narrow" w:hAnsi="Arial Narrow" w:cs="Arial"/>
                <w:b/>
                <w:bCs/>
                <w:color w:val="FFFFFF"/>
                <w:sz w:val="18"/>
                <w:szCs w:val="20"/>
              </w:rPr>
            </w:pPr>
            <w:r w:rsidRPr="001C277A">
              <w:rPr>
                <w:rFonts w:ascii="Arial Narrow" w:hAnsi="Arial Narrow" w:cs="Arial"/>
                <w:b/>
                <w:bCs/>
                <w:color w:val="FFFFFF"/>
                <w:sz w:val="18"/>
                <w:szCs w:val="20"/>
              </w:rPr>
              <w:t>Bond Funds</w:t>
            </w: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14:paraId="551C4B5D"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000000"/>
            <w:vAlign w:val="center"/>
          </w:tcPr>
          <w:p w14:paraId="39842480"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000000"/>
            <w:vAlign w:val="center"/>
          </w:tcPr>
          <w:p w14:paraId="1D7903B1"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000000"/>
            <w:vAlign w:val="center"/>
          </w:tcPr>
          <w:p w14:paraId="468F51D3"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000000"/>
            <w:vAlign w:val="center"/>
          </w:tcPr>
          <w:p w14:paraId="0342F229"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r>
      <w:tr w:rsidR="00167F99" w:rsidRPr="001C277A" w14:paraId="35D9E4E9"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4CF19EF6" w14:textId="032F8681"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American Funds American High-Inc R6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6C26F2" w14:textId="5147BDC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1EFB1E" w14:textId="48478C7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B946247" w14:textId="7BE4FC5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68AEFFF" w14:textId="1AB23FA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B25D7F0" w14:textId="434172D7"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4BC16737"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DF523" w14:textId="55A1812C"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DFA Inflation-Protected Securities 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1E81A" w14:textId="2FE546CF"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0.11%</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2039D" w14:textId="09DA342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$1.10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17387" w14:textId="130FF53E"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0.11%</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9E58D" w14:textId="6640180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$1.10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80E17" w14:textId="43E6897A"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16636DDB"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tcPr>
          <w:p w14:paraId="38E7A2A3" w14:textId="7F7A21B4"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Federated Hermes Govt Ultrashort R6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57245A" w14:textId="0B6BEA9C"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1A6212" w14:textId="46140BA8"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310A0F" w14:textId="0A10139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5B99CC" w14:textId="25CC160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$2.40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27F15F" w14:textId="21757DF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4E32C1D4" w14:textId="77777777" w:rsidTr="00CA5932">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1C5B7" w14:textId="0C42BF88"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Northern Bond Index</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AC02B" w14:textId="77BA6BE4"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0.12%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AFE6C" w14:textId="45C9FF77"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$1.20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F560A" w14:textId="715A58F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0.07%</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4B18C" w14:textId="3213C250"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$0.70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C219F" w14:textId="3B125519"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533B63A0" w14:textId="77777777" w:rsidTr="00CA5932">
        <w:trPr>
          <w:trHeight w:hRule="exact" w:val="320"/>
        </w:trPr>
        <w:tc>
          <w:tcPr>
            <w:tcW w:w="4338" w:type="dxa"/>
            <w:tcBorders>
              <w:top w:val="single" w:sz="4" w:space="0" w:color="auto"/>
              <w:left w:val="single" w:sz="4" w:space="0" w:color="auto"/>
              <w:bottom w:val="nil"/>
              <w:right w:val="single" w:sz="4" w:space="0" w:color="auto"/>
            </w:tcBorders>
            <w:shd w:val="clear" w:color="auto" w:fill="000000"/>
            <w:vAlign w:val="center"/>
          </w:tcPr>
          <w:p w14:paraId="3755ED20" w14:textId="2869D010" w:rsidR="00167F99" w:rsidRPr="001C277A" w:rsidRDefault="00167F99" w:rsidP="00167F99">
            <w:pPr>
              <w:autoSpaceDE w:val="0"/>
              <w:autoSpaceDN w:val="0"/>
              <w:adjustRightInd w:val="0"/>
              <w:rPr>
                <w:rFonts w:ascii="Arial Narrow" w:hAnsi="Arial Narrow" w:cs="Arial"/>
                <w:b/>
                <w:bCs/>
                <w:color w:val="FFFFFF"/>
                <w:sz w:val="18"/>
                <w:szCs w:val="20"/>
              </w:rPr>
            </w:pPr>
            <w:r w:rsidRPr="001C277A">
              <w:rPr>
                <w:rFonts w:ascii="Arial Narrow" w:hAnsi="Arial Narrow" w:cs="Arial"/>
                <w:b/>
                <w:bCs/>
                <w:color w:val="FFFFFF"/>
                <w:sz w:val="18"/>
                <w:szCs w:val="20"/>
              </w:rPr>
              <w:t>Other Funds</w:t>
            </w:r>
          </w:p>
        </w:tc>
        <w:tc>
          <w:tcPr>
            <w:tcW w:w="900" w:type="dxa"/>
            <w:tcBorders>
              <w:top w:val="single" w:sz="4" w:space="0" w:color="auto"/>
              <w:left w:val="single" w:sz="4" w:space="0" w:color="auto"/>
              <w:bottom w:val="nil"/>
              <w:right w:val="single" w:sz="4" w:space="0" w:color="auto"/>
            </w:tcBorders>
            <w:shd w:val="clear" w:color="auto" w:fill="000000"/>
            <w:vAlign w:val="center"/>
          </w:tcPr>
          <w:p w14:paraId="7676B23F"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top w:val="single" w:sz="4" w:space="0" w:color="auto"/>
              <w:left w:val="single" w:sz="4" w:space="0" w:color="auto"/>
              <w:bottom w:val="nil"/>
              <w:right w:val="single" w:sz="4" w:space="0" w:color="auto"/>
            </w:tcBorders>
            <w:shd w:val="clear" w:color="auto" w:fill="000000"/>
            <w:vAlign w:val="center"/>
          </w:tcPr>
          <w:p w14:paraId="42A121FC"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90" w:type="dxa"/>
            <w:tcBorders>
              <w:top w:val="single" w:sz="4" w:space="0" w:color="auto"/>
              <w:left w:val="single" w:sz="4" w:space="0" w:color="auto"/>
              <w:bottom w:val="nil"/>
              <w:right w:val="single" w:sz="4" w:space="0" w:color="auto"/>
            </w:tcBorders>
            <w:shd w:val="clear" w:color="auto" w:fill="000000"/>
            <w:vAlign w:val="center"/>
          </w:tcPr>
          <w:p w14:paraId="3AA18734"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900" w:type="dxa"/>
            <w:tcBorders>
              <w:top w:val="single" w:sz="4" w:space="0" w:color="auto"/>
              <w:left w:val="single" w:sz="4" w:space="0" w:color="auto"/>
              <w:bottom w:val="nil"/>
              <w:right w:val="single" w:sz="4" w:space="0" w:color="auto"/>
            </w:tcBorders>
            <w:shd w:val="clear" w:color="auto" w:fill="000000"/>
            <w:vAlign w:val="center"/>
          </w:tcPr>
          <w:p w14:paraId="61CCBABE"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c>
          <w:tcPr>
            <w:tcW w:w="1350" w:type="dxa"/>
            <w:tcBorders>
              <w:top w:val="single" w:sz="4" w:space="0" w:color="auto"/>
              <w:left w:val="single" w:sz="4" w:space="0" w:color="auto"/>
              <w:bottom w:val="nil"/>
              <w:right w:val="single" w:sz="4" w:space="0" w:color="auto"/>
            </w:tcBorders>
            <w:shd w:val="clear" w:color="auto" w:fill="000000"/>
            <w:vAlign w:val="center"/>
          </w:tcPr>
          <w:p w14:paraId="0624F799" w14:textId="77777777" w:rsidR="00167F99" w:rsidRPr="001C277A" w:rsidRDefault="00167F99" w:rsidP="00167F99">
            <w:pPr>
              <w:autoSpaceDE w:val="0"/>
              <w:autoSpaceDN w:val="0"/>
              <w:adjustRightInd w:val="0"/>
              <w:rPr>
                <w:rFonts w:ascii="Arial Narrow" w:hAnsi="Arial Narrow" w:cs="Arial"/>
                <w:b/>
                <w:bCs/>
                <w:color w:val="FFFFFF"/>
                <w:sz w:val="18"/>
                <w:szCs w:val="18"/>
              </w:rPr>
            </w:pPr>
          </w:p>
        </w:tc>
      </w:tr>
      <w:tr w:rsidR="00167F99" w:rsidRPr="001C277A" w14:paraId="57E1AFD1" w14:textId="77777777" w:rsidTr="00CA5932">
        <w:trPr>
          <w:trHeight w:hRule="exact" w:val="230"/>
        </w:trPr>
        <w:tc>
          <w:tcPr>
            <w:tcW w:w="4338" w:type="dxa"/>
            <w:tcBorders>
              <w:top w:val="nil"/>
              <w:left w:val="single" w:sz="4" w:space="0" w:color="auto"/>
              <w:bottom w:val="single" w:sz="4" w:space="0" w:color="auto"/>
              <w:right w:val="single" w:sz="4" w:space="0" w:color="auto"/>
            </w:tcBorders>
            <w:shd w:val="clear" w:color="auto" w:fill="auto"/>
            <w:vAlign w:val="center"/>
          </w:tcPr>
          <w:p w14:paraId="518DB2AD" w14:textId="0822BB2C"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Parametric Commodity Strategy I</w:t>
            </w:r>
          </w:p>
        </w:tc>
        <w:tc>
          <w:tcPr>
            <w:tcW w:w="900" w:type="dxa"/>
            <w:tcBorders>
              <w:top w:val="nil"/>
              <w:left w:val="single" w:sz="4" w:space="0" w:color="auto"/>
              <w:bottom w:val="single" w:sz="4" w:space="0" w:color="auto"/>
              <w:right w:val="single" w:sz="4" w:space="0" w:color="auto"/>
            </w:tcBorders>
            <w:shd w:val="clear" w:color="auto" w:fill="auto"/>
            <w:vAlign w:val="center"/>
          </w:tcPr>
          <w:p w14:paraId="440C88D0" w14:textId="37733D15"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0.65%</w:t>
            </w:r>
          </w:p>
        </w:tc>
        <w:tc>
          <w:tcPr>
            <w:tcW w:w="990" w:type="dxa"/>
            <w:tcBorders>
              <w:top w:val="nil"/>
              <w:left w:val="single" w:sz="4" w:space="0" w:color="auto"/>
              <w:bottom w:val="single" w:sz="4" w:space="0" w:color="auto"/>
              <w:right w:val="single" w:sz="4" w:space="0" w:color="auto"/>
            </w:tcBorders>
            <w:shd w:val="clear" w:color="auto" w:fill="auto"/>
            <w:vAlign w:val="center"/>
          </w:tcPr>
          <w:p w14:paraId="2FE977F8" w14:textId="5AFB2E0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$6.50</w:t>
            </w:r>
          </w:p>
        </w:tc>
        <w:tc>
          <w:tcPr>
            <w:tcW w:w="990" w:type="dxa"/>
            <w:tcBorders>
              <w:top w:val="nil"/>
              <w:left w:val="single" w:sz="4" w:space="0" w:color="auto"/>
              <w:bottom w:val="single" w:sz="4" w:space="0" w:color="auto"/>
              <w:right w:val="single" w:sz="4" w:space="0" w:color="auto"/>
            </w:tcBorders>
            <w:shd w:val="clear" w:color="auto" w:fill="auto"/>
            <w:vAlign w:val="center"/>
          </w:tcPr>
          <w:p w14:paraId="2AAC27DB" w14:textId="71210BB1"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0.65%</w:t>
            </w:r>
          </w:p>
        </w:tc>
        <w:tc>
          <w:tcPr>
            <w:tcW w:w="900" w:type="dxa"/>
            <w:tcBorders>
              <w:top w:val="nil"/>
              <w:left w:val="single" w:sz="4" w:space="0" w:color="auto"/>
              <w:bottom w:val="single" w:sz="4" w:space="0" w:color="auto"/>
              <w:right w:val="single" w:sz="4" w:space="0" w:color="auto"/>
            </w:tcBorders>
            <w:shd w:val="clear" w:color="auto" w:fill="auto"/>
            <w:vAlign w:val="center"/>
          </w:tcPr>
          <w:p w14:paraId="2981D055" w14:textId="1BCA8701"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$6.50</w:t>
            </w:r>
          </w:p>
        </w:tc>
        <w:tc>
          <w:tcPr>
            <w:tcW w:w="1350" w:type="dxa"/>
            <w:tcBorders>
              <w:top w:val="nil"/>
              <w:left w:val="single" w:sz="4" w:space="0" w:color="auto"/>
              <w:bottom w:val="single" w:sz="4" w:space="0" w:color="auto"/>
              <w:right w:val="single" w:sz="4" w:space="0" w:color="auto"/>
            </w:tcBorders>
            <w:shd w:val="clear" w:color="auto" w:fill="auto"/>
            <w:vAlign w:val="center"/>
          </w:tcPr>
          <w:p w14:paraId="74220333" w14:textId="43A9F506"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r w:rsidR="00167F99" w:rsidRPr="001C277A" w14:paraId="2A2ABE05" w14:textId="77777777" w:rsidTr="00167F99">
        <w:trPr>
          <w:trHeight w:hRule="exact" w:val="230"/>
        </w:trPr>
        <w:tc>
          <w:tcPr>
            <w:tcW w:w="4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DF341" w14:textId="44C8A0C8" w:rsidR="00167F99" w:rsidRPr="001C277A" w:rsidRDefault="00167F99" w:rsidP="00167F99">
            <w:pPr>
              <w:autoSpaceDE w:val="0"/>
              <w:autoSpaceDN w:val="0"/>
              <w:adjustRightInd w:val="0"/>
              <w:rPr>
                <w:rFonts w:ascii="Arial Narrow" w:hAnsi="Arial Narrow" w:cs="Arial"/>
                <w:b/>
                <w:bCs/>
                <w:sz w:val="18"/>
                <w:szCs w:val="20"/>
              </w:rPr>
            </w:pPr>
            <w:r w:rsidRPr="001C277A">
              <w:rPr>
                <w:rFonts w:ascii="Arial Narrow" w:hAnsi="Arial Narrow" w:cs="Arial"/>
                <w:b/>
                <w:bCs/>
                <w:sz w:val="18"/>
                <w:szCs w:val="20"/>
              </w:rPr>
              <w:t>PIMCO Real Estate Real Return Strategy I</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9AF9F" w14:textId="5FCCDFC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3.13%</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34AA5" w14:textId="51B12424"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$31.30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3544A" w14:textId="13C44CED"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3.13%</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56522" w14:textId="6CC7DD63"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$31.30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5C9C7" w14:textId="4A850F22" w:rsidR="00167F99" w:rsidRPr="001C277A" w:rsidRDefault="00167F99" w:rsidP="00167F99">
            <w:pPr>
              <w:autoSpaceDE w:val="0"/>
              <w:autoSpaceDN w:val="0"/>
              <w:adjustRightInd w:val="0"/>
              <w:jc w:val="center"/>
              <w:rPr>
                <w:rFonts w:ascii="Arial Narrow" w:hAnsi="Arial Narrow" w:cs="Arial"/>
                <w:bCs/>
                <w:sz w:val="18"/>
                <w:szCs w:val="18"/>
              </w:rPr>
            </w:pPr>
            <w:r w:rsidRPr="001C277A">
              <w:rPr>
                <w:rFonts w:ascii="Arial Narrow" w:hAnsi="Arial Narrow" w:cs="Arial"/>
                <w:bCs/>
                <w:sz w:val="18"/>
                <w:szCs w:val="18"/>
              </w:rPr>
              <w:t>--</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1082"/>
        <w:gridCol w:w="992"/>
        <w:gridCol w:w="902"/>
        <w:gridCol w:w="902"/>
        <w:gridCol w:w="1353"/>
      </w:tblGrid>
      <w:tr w:rsidR="00335F39" w:rsidRPr="001C277A" w14:paraId="695EA2BD" w14:textId="77777777" w:rsidTr="00CA5932">
        <w:trPr>
          <w:trHeight w:val="317"/>
        </w:trPr>
        <w:tc>
          <w:tcPr>
            <w:tcW w:w="4237" w:type="dxa"/>
            <w:tcBorders>
              <w:top w:val="single" w:sz="4" w:space="0" w:color="auto"/>
              <w:left w:val="single" w:sz="4" w:space="0" w:color="auto"/>
              <w:bottom w:val="single" w:sz="4" w:space="0" w:color="auto"/>
            </w:tcBorders>
            <w:shd w:val="clear" w:color="auto" w:fill="0D0D0D"/>
            <w:vAlign w:val="center"/>
          </w:tcPr>
          <w:p w14:paraId="51837038" w14:textId="77777777" w:rsidR="00335F39" w:rsidRPr="001C277A" w:rsidRDefault="00335F39" w:rsidP="00C50648">
            <w:pPr>
              <w:spacing w:before="20" w:after="20" w:line="240" w:lineRule="auto"/>
              <w:rPr>
                <w:rFonts w:ascii="Arial Narrow" w:hAnsi="Arial Narrow" w:cs="Arial"/>
                <w:b/>
                <w:sz w:val="18"/>
                <w:szCs w:val="18"/>
              </w:rPr>
            </w:pPr>
            <w:r w:rsidRPr="001C277A">
              <w:rPr>
                <w:rFonts w:ascii="Arial Narrow" w:hAnsi="Arial Narrow" w:cs="Arial"/>
                <w:b/>
                <w:sz w:val="18"/>
                <w:szCs w:val="18"/>
              </w:rPr>
              <w:t>Fixed return investments</w:t>
            </w:r>
          </w:p>
        </w:tc>
        <w:tc>
          <w:tcPr>
            <w:tcW w:w="1082" w:type="dxa"/>
            <w:tcBorders>
              <w:top w:val="single" w:sz="4" w:space="0" w:color="auto"/>
              <w:bottom w:val="single" w:sz="4" w:space="0" w:color="auto"/>
            </w:tcBorders>
            <w:shd w:val="clear" w:color="auto" w:fill="0D0D0D"/>
            <w:vAlign w:val="center"/>
          </w:tcPr>
          <w:p w14:paraId="3A74FC6B" w14:textId="77777777" w:rsidR="00335F39" w:rsidRPr="001C277A" w:rsidRDefault="00335F39" w:rsidP="00C50648">
            <w:pPr>
              <w:spacing w:before="20" w:after="20" w:line="240" w:lineRule="auto"/>
              <w:rPr>
                <w:rFonts w:ascii="Arial Narrow" w:hAnsi="Arial Narrow" w:cs="Arial"/>
                <w:b/>
                <w:sz w:val="18"/>
                <w:szCs w:val="18"/>
              </w:rPr>
            </w:pPr>
          </w:p>
        </w:tc>
        <w:tc>
          <w:tcPr>
            <w:tcW w:w="992" w:type="dxa"/>
            <w:tcBorders>
              <w:top w:val="single" w:sz="4" w:space="0" w:color="auto"/>
              <w:bottom w:val="single" w:sz="4" w:space="0" w:color="auto"/>
            </w:tcBorders>
            <w:shd w:val="clear" w:color="auto" w:fill="0D0D0D"/>
            <w:vAlign w:val="center"/>
          </w:tcPr>
          <w:p w14:paraId="35047A2D" w14:textId="77777777" w:rsidR="00335F39" w:rsidRPr="001C277A" w:rsidRDefault="00335F39" w:rsidP="00C50648">
            <w:pPr>
              <w:spacing w:before="20" w:after="20" w:line="240" w:lineRule="auto"/>
              <w:rPr>
                <w:rFonts w:ascii="Arial Narrow" w:hAnsi="Arial Narrow" w:cs="Arial"/>
                <w:b/>
                <w:sz w:val="18"/>
                <w:szCs w:val="18"/>
              </w:rPr>
            </w:pPr>
          </w:p>
        </w:tc>
        <w:tc>
          <w:tcPr>
            <w:tcW w:w="902" w:type="dxa"/>
            <w:tcBorders>
              <w:top w:val="single" w:sz="4" w:space="0" w:color="auto"/>
              <w:bottom w:val="single" w:sz="4" w:space="0" w:color="auto"/>
            </w:tcBorders>
            <w:shd w:val="clear" w:color="auto" w:fill="0D0D0D"/>
            <w:vAlign w:val="center"/>
          </w:tcPr>
          <w:p w14:paraId="07CFDA02" w14:textId="77777777" w:rsidR="00335F39" w:rsidRPr="001C277A" w:rsidRDefault="00335F39" w:rsidP="00C50648">
            <w:pPr>
              <w:spacing w:before="20" w:after="20" w:line="240" w:lineRule="auto"/>
              <w:rPr>
                <w:rFonts w:ascii="Arial Narrow" w:hAnsi="Arial Narrow" w:cs="Arial"/>
                <w:b/>
                <w:sz w:val="18"/>
                <w:szCs w:val="18"/>
              </w:rPr>
            </w:pPr>
          </w:p>
        </w:tc>
        <w:tc>
          <w:tcPr>
            <w:tcW w:w="902" w:type="dxa"/>
            <w:tcBorders>
              <w:top w:val="single" w:sz="4" w:space="0" w:color="auto"/>
              <w:bottom w:val="single" w:sz="4" w:space="0" w:color="auto"/>
            </w:tcBorders>
            <w:shd w:val="clear" w:color="auto" w:fill="0D0D0D"/>
            <w:vAlign w:val="center"/>
          </w:tcPr>
          <w:p w14:paraId="4BEB210B" w14:textId="77777777" w:rsidR="00335F39" w:rsidRPr="001C277A" w:rsidRDefault="00335F39" w:rsidP="00C50648">
            <w:pPr>
              <w:spacing w:before="20" w:after="20" w:line="240" w:lineRule="auto"/>
              <w:rPr>
                <w:rFonts w:ascii="Arial Narrow" w:hAnsi="Arial Narrow" w:cs="Arial"/>
                <w:b/>
                <w:sz w:val="18"/>
                <w:szCs w:val="18"/>
              </w:rPr>
            </w:pPr>
          </w:p>
        </w:tc>
        <w:tc>
          <w:tcPr>
            <w:tcW w:w="1353" w:type="dxa"/>
            <w:tcBorders>
              <w:top w:val="single" w:sz="4" w:space="0" w:color="auto"/>
              <w:bottom w:val="single" w:sz="4" w:space="0" w:color="auto"/>
              <w:right w:val="single" w:sz="4" w:space="0" w:color="auto"/>
            </w:tcBorders>
            <w:shd w:val="clear" w:color="auto" w:fill="0D0D0D"/>
            <w:vAlign w:val="center"/>
          </w:tcPr>
          <w:p w14:paraId="165F842E" w14:textId="77777777" w:rsidR="00335F39" w:rsidRPr="001C277A" w:rsidRDefault="00335F39" w:rsidP="00C50648">
            <w:pPr>
              <w:spacing w:before="20" w:after="20" w:line="240" w:lineRule="auto"/>
              <w:rPr>
                <w:rFonts w:ascii="Arial Narrow" w:hAnsi="Arial Narrow" w:cs="Arial"/>
                <w:b/>
                <w:sz w:val="18"/>
                <w:szCs w:val="18"/>
              </w:rPr>
            </w:pPr>
          </w:p>
        </w:tc>
      </w:tr>
      <w:tr w:rsidR="00335F39" w:rsidRPr="001C277A" w14:paraId="1F3151B8" w14:textId="77777777" w:rsidTr="00CA5932">
        <w:tc>
          <w:tcPr>
            <w:tcW w:w="4237" w:type="dxa"/>
            <w:tcBorders>
              <w:top w:val="single" w:sz="4" w:space="0" w:color="auto"/>
              <w:left w:val="single" w:sz="4" w:space="0" w:color="auto"/>
              <w:bottom w:val="single" w:sz="4" w:space="0" w:color="auto"/>
              <w:right w:val="single" w:sz="4" w:space="0" w:color="auto"/>
            </w:tcBorders>
            <w:shd w:val="clear" w:color="auto" w:fill="auto"/>
            <w:hideMark/>
          </w:tcPr>
          <w:p w14:paraId="6E96182E" w14:textId="68FEDDC5" w:rsidR="00335F39" w:rsidRPr="001C277A" w:rsidRDefault="00335F39" w:rsidP="00C50648">
            <w:pPr>
              <w:spacing w:before="20" w:after="20"/>
              <w:rPr>
                <w:rFonts w:ascii="Arial Narrow" w:hAnsi="Arial Narrow" w:cs="Arial"/>
                <w:b/>
                <w:sz w:val="18"/>
                <w:szCs w:val="18"/>
              </w:rPr>
            </w:pPr>
            <w:r w:rsidRPr="001C277A">
              <w:rPr>
                <w:rFonts w:ascii="Arial Narrow" w:hAnsi="Arial Narrow" w:cs="Arial"/>
                <w:b/>
                <w:sz w:val="18"/>
                <w:szCs w:val="18"/>
              </w:rPr>
              <w:t xml:space="preserve">Lincoln Stable Value </w:t>
            </w:r>
            <w:r w:rsidR="00167F99" w:rsidRPr="001C277A">
              <w:rPr>
                <w:rFonts w:ascii="Arial Narrow" w:hAnsi="Arial Narrow" w:cs="Arial"/>
                <w:b/>
                <w:sz w:val="18"/>
                <w:szCs w:val="18"/>
              </w:rPr>
              <w:t>LNGPA</w:t>
            </w:r>
          </w:p>
        </w:tc>
        <w:tc>
          <w:tcPr>
            <w:tcW w:w="1082" w:type="dxa"/>
            <w:tcBorders>
              <w:top w:val="single" w:sz="4" w:space="0" w:color="auto"/>
              <w:left w:val="single" w:sz="4" w:space="0" w:color="auto"/>
              <w:bottom w:val="single" w:sz="4" w:space="0" w:color="auto"/>
              <w:right w:val="single" w:sz="4" w:space="0" w:color="auto"/>
            </w:tcBorders>
            <w:shd w:val="clear" w:color="auto" w:fill="auto"/>
            <w:hideMark/>
          </w:tcPr>
          <w:p w14:paraId="0F2A8FA7" w14:textId="77777777" w:rsidR="00335F39" w:rsidRPr="001C277A" w:rsidRDefault="00335F39" w:rsidP="00C50648">
            <w:pPr>
              <w:spacing w:before="20" w:after="20"/>
              <w:jc w:val="center"/>
              <w:rPr>
                <w:rFonts w:ascii="Arial Narrow" w:hAnsi="Arial Narrow" w:cs="Arial"/>
                <w:sz w:val="18"/>
                <w:szCs w:val="18"/>
              </w:rPr>
            </w:pPr>
            <w:r w:rsidRPr="001C277A">
              <w:rPr>
                <w:rFonts w:ascii="Arial Narrow" w:hAnsi="Arial Narrow" w:cs="Arial"/>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D5C5B8" w14:textId="77777777" w:rsidR="00335F39" w:rsidRPr="001C277A" w:rsidRDefault="00335F39" w:rsidP="00C50648">
            <w:pPr>
              <w:spacing w:before="20" w:after="20"/>
              <w:jc w:val="center"/>
              <w:rPr>
                <w:rFonts w:ascii="Arial Narrow" w:hAnsi="Arial Narrow" w:cs="Arial"/>
                <w:sz w:val="18"/>
                <w:szCs w:val="18"/>
              </w:rPr>
            </w:pPr>
            <w:r w:rsidRPr="001C277A">
              <w:rPr>
                <w:rFonts w:ascii="Arial Narrow" w:hAnsi="Arial Narrow" w:cs="Arial"/>
                <w:sz w:val="18"/>
                <w:szCs w:val="18"/>
              </w:rPr>
              <w:t>$0.00</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1A0F0BB2" w14:textId="77777777" w:rsidR="00335F39" w:rsidRPr="001C277A" w:rsidRDefault="00335F39" w:rsidP="00C50648">
            <w:pPr>
              <w:spacing w:before="20" w:after="20"/>
              <w:jc w:val="center"/>
              <w:rPr>
                <w:rFonts w:ascii="Arial Narrow" w:hAnsi="Arial Narrow" w:cs="Arial"/>
                <w:sz w:val="18"/>
                <w:szCs w:val="18"/>
              </w:rPr>
            </w:pPr>
            <w:r w:rsidRPr="001C277A">
              <w:rPr>
                <w:rFonts w:ascii="Arial Narrow" w:hAnsi="Arial Narrow" w:cs="Arial"/>
                <w:sz w:val="18"/>
                <w:szCs w:val="18"/>
              </w:rPr>
              <w:t>0.00%</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14:paraId="4E407C36" w14:textId="77777777" w:rsidR="00335F39" w:rsidRPr="001C277A" w:rsidRDefault="00335F39" w:rsidP="00C50648">
            <w:pPr>
              <w:spacing w:before="20" w:after="20"/>
              <w:jc w:val="center"/>
              <w:rPr>
                <w:rFonts w:ascii="Arial Narrow" w:hAnsi="Arial Narrow" w:cs="Arial"/>
                <w:sz w:val="18"/>
                <w:szCs w:val="18"/>
              </w:rPr>
            </w:pPr>
            <w:r w:rsidRPr="001C277A">
              <w:rPr>
                <w:rFonts w:ascii="Arial Narrow" w:hAnsi="Arial Narrow" w:cs="Arial"/>
                <w:sz w:val="18"/>
                <w:szCs w:val="18"/>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A0793" w14:textId="77777777" w:rsidR="00335F39" w:rsidRPr="001C277A" w:rsidRDefault="00335F39" w:rsidP="00C50648">
            <w:pPr>
              <w:spacing w:before="20" w:after="20"/>
              <w:rPr>
                <w:rFonts w:ascii="Arial Narrow" w:hAnsi="Arial Narrow" w:cs="Arial"/>
                <w:sz w:val="18"/>
                <w:szCs w:val="18"/>
              </w:rPr>
            </w:pPr>
            <w:r w:rsidRPr="001C277A">
              <w:rPr>
                <w:rFonts w:ascii="Arial Narrow" w:hAnsi="Arial Narrow" w:cs="Arial"/>
                <w:sz w:val="16"/>
                <w:szCs w:val="18"/>
              </w:rPr>
              <w:t>Transfers from this investment option to a competing fund may be restricted. Transfers may be made to noncompeting funds if there are no subsequent transfers to a competing fund(s) within 90 days.</w:t>
            </w:r>
          </w:p>
        </w:tc>
      </w:tr>
    </w:tbl>
    <w:p w14:paraId="4B6FE242" w14:textId="77777777" w:rsidR="001D2F34" w:rsidRPr="001C277A" w:rsidRDefault="001D2F34" w:rsidP="00B94F0C">
      <w:pPr>
        <w:autoSpaceDE w:val="0"/>
        <w:autoSpaceDN w:val="0"/>
        <w:adjustRightInd w:val="0"/>
        <w:spacing w:before="120" w:after="0" w:line="240" w:lineRule="auto"/>
        <w:jc w:val="both"/>
        <w:rPr>
          <w:rFonts w:cs="Arial"/>
          <w:color w:val="000000"/>
          <w:sz w:val="14"/>
          <w:szCs w:val="20"/>
        </w:rPr>
      </w:pPr>
      <w:r w:rsidRPr="001C277A">
        <w:rPr>
          <w:rFonts w:cs="Arial"/>
          <w:color w:val="000000"/>
          <w:sz w:val="14"/>
          <w:szCs w:val="20"/>
        </w:rPr>
        <w:t xml:space="preserve">Frequent trading policy: Transactions associated with market timing </w:t>
      </w:r>
      <w:r w:rsidR="00EB5AA6" w:rsidRPr="001C277A">
        <w:rPr>
          <w:rFonts w:cs="Arial"/>
          <w:color w:val="000000"/>
          <w:sz w:val="14"/>
          <w:szCs w:val="20"/>
        </w:rPr>
        <w:t>–</w:t>
      </w:r>
      <w:r w:rsidRPr="001C277A">
        <w:rPr>
          <w:rFonts w:cs="Arial"/>
          <w:color w:val="000000"/>
          <w:sz w:val="14"/>
          <w:szCs w:val="20"/>
        </w:rPr>
        <w:t xml:space="preserve"> such as frequent, large, or short-term transfers among investment options </w:t>
      </w:r>
      <w:r w:rsidR="00EB5AA6" w:rsidRPr="001C277A">
        <w:rPr>
          <w:rFonts w:cs="Arial"/>
          <w:color w:val="000000"/>
          <w:sz w:val="14"/>
          <w:szCs w:val="20"/>
        </w:rPr>
        <w:t>–</w:t>
      </w:r>
      <w:r w:rsidRPr="001C277A">
        <w:rPr>
          <w:rFonts w:cs="Arial"/>
          <w:color w:val="000000"/>
          <w:sz w:val="14"/>
          <w:szCs w:val="20"/>
        </w:rPr>
        <w:t xml:space="preserve"> can affect the underlying funds and their investments. Lincoln therefore reviews the number of transfers that a participant makes within given periods of time to determine if any transfer attempts to capitalize upon short-term movements in the equity markets (Market Timing Policy). If so, the participant's transfer activity will be subject to further scrutiny. Potential market timing or frequent trading may result in future trading restrictions, up to and including temporary (or permanent) revocation of telephone exchange privileges.</w:t>
      </w:r>
    </w:p>
    <w:p w14:paraId="1E47E109" w14:textId="77777777" w:rsidR="004A4427" w:rsidRPr="001C277A" w:rsidRDefault="002E6E54" w:rsidP="006B5B94">
      <w:pPr>
        <w:autoSpaceDE w:val="0"/>
        <w:autoSpaceDN w:val="0"/>
        <w:adjustRightInd w:val="0"/>
        <w:spacing w:before="120" w:after="0" w:line="240" w:lineRule="auto"/>
        <w:jc w:val="both"/>
        <w:rPr>
          <w:rFonts w:cs="Arial"/>
          <w:color w:val="000000"/>
          <w:sz w:val="14"/>
          <w:szCs w:val="20"/>
        </w:rPr>
      </w:pPr>
      <w:r w:rsidRPr="001C277A">
        <w:rPr>
          <w:rFonts w:cs="Arial"/>
          <w:color w:val="000000"/>
          <w:sz w:val="14"/>
          <w:szCs w:val="20"/>
        </w:rPr>
        <w:t>Total a</w:t>
      </w:r>
      <w:r w:rsidR="001B5911" w:rsidRPr="001C277A">
        <w:rPr>
          <w:rFonts w:cs="Arial"/>
          <w:color w:val="000000"/>
          <w:sz w:val="14"/>
          <w:szCs w:val="20"/>
        </w:rPr>
        <w:t xml:space="preserve">nnual </w:t>
      </w:r>
      <w:r w:rsidRPr="001C277A">
        <w:rPr>
          <w:rFonts w:cs="Arial"/>
          <w:color w:val="000000"/>
          <w:sz w:val="14"/>
          <w:szCs w:val="20"/>
        </w:rPr>
        <w:t>o</w:t>
      </w:r>
      <w:r w:rsidR="001B5911" w:rsidRPr="001C277A">
        <w:rPr>
          <w:rFonts w:cs="Arial"/>
          <w:color w:val="000000"/>
          <w:sz w:val="14"/>
          <w:szCs w:val="20"/>
        </w:rPr>
        <w:t xml:space="preserve">perating </w:t>
      </w:r>
      <w:r w:rsidRPr="001C277A">
        <w:rPr>
          <w:rFonts w:cs="Arial"/>
          <w:color w:val="000000"/>
          <w:sz w:val="14"/>
          <w:szCs w:val="20"/>
        </w:rPr>
        <w:t>expense</w:t>
      </w:r>
      <w:r w:rsidR="001B5911" w:rsidRPr="001C277A">
        <w:rPr>
          <w:rFonts w:cs="Arial"/>
          <w:color w:val="000000"/>
          <w:sz w:val="14"/>
          <w:szCs w:val="20"/>
        </w:rPr>
        <w:t>: Expenses that reduce the rate of r</w:t>
      </w:r>
      <w:r w:rsidR="006B5B94" w:rsidRPr="001C277A">
        <w:rPr>
          <w:rFonts w:cs="Arial"/>
          <w:color w:val="000000"/>
          <w:sz w:val="14"/>
          <w:szCs w:val="20"/>
        </w:rPr>
        <w:t>eturn of the investment option.</w:t>
      </w:r>
    </w:p>
    <w:p w14:paraId="4690CEB1" w14:textId="77777777" w:rsidR="00111494" w:rsidRPr="001C277A" w:rsidRDefault="00111494" w:rsidP="00111494">
      <w:pPr>
        <w:autoSpaceDE w:val="0"/>
        <w:autoSpaceDN w:val="0"/>
        <w:adjustRightInd w:val="0"/>
        <w:spacing w:before="120" w:after="0" w:line="240" w:lineRule="auto"/>
        <w:jc w:val="both"/>
        <w:rPr>
          <w:rFonts w:cs="Arial"/>
          <w:color w:val="000000"/>
          <w:sz w:val="14"/>
          <w:szCs w:val="20"/>
        </w:rPr>
      </w:pPr>
      <w:r w:rsidRPr="001C277A">
        <w:rPr>
          <w:rFonts w:cs="Arial"/>
          <w:color w:val="000000"/>
          <w:sz w:val="14"/>
          <w:szCs w:val="20"/>
        </w:rPr>
        <w:t>Net Operating Expense: Total annual operating expense net of any applicable fund company waivers/reimbursements.</w:t>
      </w:r>
    </w:p>
    <w:p w14:paraId="4BA0BD74" w14:textId="77777777" w:rsidR="000627A6" w:rsidRPr="001C277A" w:rsidRDefault="000627A6" w:rsidP="000627A6">
      <w:pPr>
        <w:rPr>
          <w:rFonts w:ascii="Calibri" w:eastAsia="Times New Roman" w:hAnsi="Calibri" w:cs="Calibri"/>
          <w:vanish/>
        </w:rPr>
      </w:pPr>
      <w:bookmarkStart w:id="28" w:name="Chart4PathBuilder"/>
      <w:bookmarkEnd w:id="28"/>
    </w:p>
    <w:p w14:paraId="067C26B7" w14:textId="77777777" w:rsidR="000627A6" w:rsidRPr="001C277A" w:rsidRDefault="000627A6" w:rsidP="0080318B">
      <w:pPr>
        <w:autoSpaceDE w:val="0"/>
        <w:autoSpaceDN w:val="0"/>
        <w:adjustRightInd w:val="0"/>
        <w:spacing w:after="0" w:line="240" w:lineRule="auto"/>
        <w:jc w:val="both"/>
        <w:rPr>
          <w:rFonts w:cs="Arial"/>
          <w:b/>
          <w:color w:val="000000"/>
          <w:sz w:val="20"/>
          <w:szCs w:val="20"/>
        </w:rPr>
      </w:pPr>
      <w:bookmarkStart w:id="29" w:name="YourPathChart4"/>
      <w:bookmarkStart w:id="30" w:name="YourPathpara1"/>
      <w:bookmarkEnd w:id="29"/>
    </w:p>
    <w:p w14:paraId="42AE85E9" w14:textId="77777777" w:rsidR="00CA5932" w:rsidRPr="001C277A" w:rsidRDefault="00CA5932">
      <w:pPr>
        <w:rPr>
          <w:rFonts w:cs="Arial"/>
          <w:b/>
          <w:color w:val="000000"/>
          <w:sz w:val="20"/>
          <w:szCs w:val="20"/>
        </w:rPr>
      </w:pPr>
      <w:r w:rsidRPr="001C277A">
        <w:rPr>
          <w:rFonts w:cs="Arial"/>
          <w:b/>
          <w:color w:val="000000"/>
          <w:sz w:val="20"/>
          <w:szCs w:val="20"/>
        </w:rPr>
        <w:br w:type="page"/>
      </w:r>
    </w:p>
    <w:p w14:paraId="63E5FCA4" w14:textId="670EED32" w:rsidR="00AB4283" w:rsidRPr="001C277A" w:rsidRDefault="00E867BE" w:rsidP="0080318B">
      <w:pPr>
        <w:autoSpaceDE w:val="0"/>
        <w:autoSpaceDN w:val="0"/>
        <w:adjustRightInd w:val="0"/>
        <w:spacing w:after="0" w:line="240" w:lineRule="auto"/>
        <w:jc w:val="both"/>
        <w:rPr>
          <w:rFonts w:cs="Arial"/>
          <w:b/>
          <w:color w:val="000000"/>
          <w:sz w:val="20"/>
          <w:szCs w:val="20"/>
        </w:rPr>
      </w:pPr>
      <w:r w:rsidRPr="001C277A">
        <w:rPr>
          <w:rFonts w:cs="Arial"/>
          <w:b/>
          <w:color w:val="000000"/>
          <w:sz w:val="20"/>
          <w:szCs w:val="20"/>
        </w:rPr>
        <w:lastRenderedPageBreak/>
        <w:t xml:space="preserve">Chart </w:t>
      </w:r>
      <w:r w:rsidR="00167F99" w:rsidRPr="001C277A">
        <w:rPr>
          <w:rFonts w:cs="Arial"/>
          <w:b/>
          <w:color w:val="000000"/>
          <w:sz w:val="20"/>
          <w:szCs w:val="20"/>
        </w:rPr>
        <w:t>4a</w:t>
      </w:r>
      <w:r w:rsidRPr="001C277A">
        <w:rPr>
          <w:rFonts w:cs="Arial"/>
          <w:b/>
          <w:color w:val="000000"/>
          <w:sz w:val="20"/>
          <w:szCs w:val="20"/>
        </w:rPr>
        <w:t xml:space="preserve"> and </w:t>
      </w:r>
      <w:r w:rsidR="00167F99" w:rsidRPr="001C277A">
        <w:rPr>
          <w:rFonts w:cs="Arial"/>
          <w:b/>
          <w:color w:val="000000"/>
          <w:sz w:val="20"/>
          <w:szCs w:val="20"/>
        </w:rPr>
        <w:t>4b</w:t>
      </w:r>
      <w:r w:rsidRPr="001C277A">
        <w:rPr>
          <w:rFonts w:cs="Arial"/>
          <w:b/>
          <w:color w:val="000000"/>
          <w:sz w:val="20"/>
          <w:szCs w:val="20"/>
        </w:rPr>
        <w:t xml:space="preserve"> - Unitized model portfolio</w:t>
      </w:r>
    </w:p>
    <w:p w14:paraId="091A0855" w14:textId="77777777" w:rsidR="00E867BE" w:rsidRPr="001C277A" w:rsidRDefault="00E867BE" w:rsidP="00B94F0C">
      <w:pPr>
        <w:autoSpaceDE w:val="0"/>
        <w:autoSpaceDN w:val="0"/>
        <w:adjustRightInd w:val="0"/>
        <w:spacing w:after="0" w:line="240" w:lineRule="auto"/>
        <w:jc w:val="both"/>
        <w:rPr>
          <w:rFonts w:cs="Arial"/>
          <w:b/>
          <w:color w:val="000000"/>
          <w:sz w:val="20"/>
          <w:szCs w:val="20"/>
        </w:rPr>
      </w:pPr>
    </w:p>
    <w:p w14:paraId="46BE55CF" w14:textId="362B13F3" w:rsidR="00E867BE" w:rsidRPr="001C277A" w:rsidRDefault="00E867BE" w:rsidP="0080318B">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 xml:space="preserve">Chart </w:t>
      </w:r>
      <w:r w:rsidR="00167F99" w:rsidRPr="001C277A">
        <w:rPr>
          <w:rFonts w:cs="Arial"/>
          <w:color w:val="000000"/>
          <w:sz w:val="20"/>
          <w:szCs w:val="20"/>
        </w:rPr>
        <w:t>4a</w:t>
      </w:r>
      <w:r w:rsidRPr="001C277A">
        <w:rPr>
          <w:rFonts w:cs="Arial"/>
          <w:color w:val="000000"/>
          <w:sz w:val="20"/>
          <w:szCs w:val="20"/>
        </w:rPr>
        <w:t xml:space="preserve"> focuses on the performance of model portfolio options that do not have a fixed or stated rate of return. Certain asset allocation portfolios are </w:t>
      </w:r>
      <w:r w:rsidR="0080318B" w:rsidRPr="001C277A">
        <w:rPr>
          <w:rFonts w:cs="Arial"/>
          <w:color w:val="000000"/>
          <w:sz w:val="20"/>
          <w:szCs w:val="20"/>
        </w:rPr>
        <w:t xml:space="preserve">presented as a single, unitized investment option. Each portfolio consists primarily of a mix of stock and bond-based funds. Unitized Portfolios are not a separate security or investment. Rather, customers who invest through a </w:t>
      </w:r>
      <w:proofErr w:type="gramStart"/>
      <w:r w:rsidR="0080318B" w:rsidRPr="001C277A">
        <w:rPr>
          <w:rFonts w:cs="Arial"/>
          <w:color w:val="000000"/>
          <w:sz w:val="20"/>
          <w:szCs w:val="20"/>
        </w:rPr>
        <w:t>unitized portfolio own shares</w:t>
      </w:r>
      <w:proofErr w:type="gramEnd"/>
      <w:r w:rsidR="0080318B" w:rsidRPr="001C277A">
        <w:rPr>
          <w:rFonts w:cs="Arial"/>
          <w:color w:val="000000"/>
          <w:sz w:val="20"/>
          <w:szCs w:val="20"/>
        </w:rPr>
        <w:t xml:space="preserve"> in the underlying funds within the portfolios see Chart </w:t>
      </w:r>
      <w:r w:rsidR="00167F99" w:rsidRPr="001C277A">
        <w:rPr>
          <w:rFonts w:cs="Arial"/>
          <w:color w:val="000000"/>
          <w:sz w:val="20"/>
          <w:szCs w:val="20"/>
        </w:rPr>
        <w:t>4b</w:t>
      </w:r>
      <w:r w:rsidR="0080318B" w:rsidRPr="001C277A">
        <w:rPr>
          <w:rFonts w:cs="Arial"/>
          <w:color w:val="000000"/>
          <w:sz w:val="20"/>
          <w:szCs w:val="20"/>
        </w:rPr>
        <w:t xml:space="preserve"> - Underlying funds. The unit value for these portfolios is calculated using a weighted formula that includes, but may not be limited to, the net asset values of the underlying funds and other investments making up the portfolio. Portfolio unit values are provided as general information and are not representative of the net asset value or market value of any underlying investments within the portfolio.</w:t>
      </w:r>
    </w:p>
    <w:p w14:paraId="0EEEB121" w14:textId="77777777" w:rsidR="0080318B" w:rsidRPr="001C277A" w:rsidRDefault="0080318B" w:rsidP="00B94F0C">
      <w:pPr>
        <w:autoSpaceDE w:val="0"/>
        <w:autoSpaceDN w:val="0"/>
        <w:adjustRightInd w:val="0"/>
        <w:spacing w:after="0" w:line="240" w:lineRule="auto"/>
        <w:jc w:val="both"/>
        <w:rPr>
          <w:rFonts w:cs="Arial"/>
          <w:color w:val="000000"/>
          <w:sz w:val="20"/>
          <w:szCs w:val="20"/>
        </w:rPr>
      </w:pPr>
    </w:p>
    <w:p w14:paraId="760E0B0A" w14:textId="77777777" w:rsidR="0080318B" w:rsidRPr="001C277A" w:rsidRDefault="0080318B"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The chart illustrates how these options have performed over time and allows you to compare them with an appropriate benchmark for the same period.</w:t>
      </w:r>
    </w:p>
    <w:p w14:paraId="13CA667D" w14:textId="77777777" w:rsidR="00E867BE" w:rsidRPr="001C277A" w:rsidRDefault="00E867BE" w:rsidP="00B94F0C">
      <w:pPr>
        <w:autoSpaceDE w:val="0"/>
        <w:autoSpaceDN w:val="0"/>
        <w:adjustRightInd w:val="0"/>
        <w:spacing w:after="0" w:line="240" w:lineRule="auto"/>
        <w:jc w:val="both"/>
        <w:rPr>
          <w:rFonts w:cs="Arial"/>
          <w:color w:val="000000"/>
          <w:sz w:val="20"/>
          <w:szCs w:val="20"/>
        </w:rPr>
      </w:pPr>
    </w:p>
    <w:tbl>
      <w:tblPr>
        <w:tblStyle w:val="TableGrid"/>
        <w:tblW w:w="9502" w:type="dxa"/>
        <w:tblLayout w:type="fixed"/>
        <w:tblCellMar>
          <w:left w:w="115" w:type="dxa"/>
          <w:right w:w="115" w:type="dxa"/>
        </w:tblCellMar>
        <w:tblLook w:val="04A0" w:firstRow="1" w:lastRow="0" w:firstColumn="1" w:lastColumn="0" w:noHBand="0" w:noVBand="1"/>
      </w:tblPr>
      <w:tblGrid>
        <w:gridCol w:w="3958"/>
        <w:gridCol w:w="909"/>
        <w:gridCol w:w="900"/>
        <w:gridCol w:w="783"/>
        <w:gridCol w:w="1080"/>
        <w:gridCol w:w="1080"/>
        <w:gridCol w:w="792"/>
      </w:tblGrid>
      <w:tr w:rsidR="00E867BE" w:rsidRPr="001C277A" w14:paraId="2FC1722D" w14:textId="77777777" w:rsidTr="001C2F11">
        <w:trPr>
          <w:trHeight w:val="305"/>
        </w:trPr>
        <w:tc>
          <w:tcPr>
            <w:tcW w:w="9502" w:type="dxa"/>
            <w:gridSpan w:val="7"/>
            <w:shd w:val="clear" w:color="auto" w:fill="000000" w:themeFill="text1"/>
            <w:vAlign w:val="center"/>
          </w:tcPr>
          <w:p w14:paraId="56CA7398" w14:textId="5A7889B0" w:rsidR="00E867BE" w:rsidRPr="001C277A" w:rsidRDefault="00E867BE" w:rsidP="00E867BE">
            <w:pPr>
              <w:autoSpaceDE w:val="0"/>
              <w:autoSpaceDN w:val="0"/>
              <w:adjustRightInd w:val="0"/>
              <w:jc w:val="center"/>
              <w:rPr>
                <w:rFonts w:cs="Arial"/>
                <w:b/>
                <w:color w:val="000000"/>
                <w:sz w:val="18"/>
                <w:szCs w:val="18"/>
              </w:rPr>
            </w:pPr>
            <w:bookmarkStart w:id="31" w:name="PortfolioChartStart"/>
            <w:bookmarkEnd w:id="30"/>
            <w:bookmarkEnd w:id="31"/>
            <w:r w:rsidRPr="001C277A">
              <w:rPr>
                <w:rFonts w:cs="Arial"/>
                <w:b/>
                <w:color w:val="FFFFFF" w:themeColor="background1"/>
                <w:sz w:val="18"/>
                <w:szCs w:val="18"/>
              </w:rPr>
              <w:t xml:space="preserve">Chart </w:t>
            </w:r>
            <w:r w:rsidR="00167F99" w:rsidRPr="001C277A">
              <w:rPr>
                <w:rFonts w:cs="Arial"/>
                <w:b/>
                <w:color w:val="FFFFFF" w:themeColor="background1"/>
                <w:sz w:val="18"/>
                <w:szCs w:val="18"/>
              </w:rPr>
              <w:t>4a</w:t>
            </w:r>
            <w:r w:rsidRPr="001C277A">
              <w:rPr>
                <w:rFonts w:cs="Arial"/>
                <w:b/>
                <w:color w:val="FFFFFF" w:themeColor="background1"/>
                <w:sz w:val="18"/>
                <w:szCs w:val="18"/>
              </w:rPr>
              <w:t xml:space="preserve"> - Unitized model portfolio</w:t>
            </w:r>
          </w:p>
        </w:tc>
      </w:tr>
      <w:tr w:rsidR="00E867BE" w:rsidRPr="001C277A" w14:paraId="5E49DEC2" w14:textId="77777777" w:rsidTr="001C2F11">
        <w:trPr>
          <w:trHeight w:val="530"/>
        </w:trPr>
        <w:tc>
          <w:tcPr>
            <w:tcW w:w="3958" w:type="dxa"/>
            <w:tcBorders>
              <w:bottom w:val="nil"/>
            </w:tcBorders>
            <w:vAlign w:val="bottom"/>
          </w:tcPr>
          <w:p w14:paraId="2B45E7AA" w14:textId="77777777" w:rsidR="00E867BE" w:rsidRPr="001C277A" w:rsidRDefault="00E867BE" w:rsidP="00E867BE">
            <w:pPr>
              <w:autoSpaceDE w:val="0"/>
              <w:autoSpaceDN w:val="0"/>
              <w:adjustRightInd w:val="0"/>
              <w:rPr>
                <w:rFonts w:ascii="Arial Narrow" w:hAnsi="Arial Narrow" w:cs="Arial"/>
                <w:b/>
                <w:color w:val="000000"/>
                <w:sz w:val="18"/>
                <w:szCs w:val="18"/>
              </w:rPr>
            </w:pPr>
            <w:r w:rsidRPr="001C277A">
              <w:rPr>
                <w:rFonts w:ascii="Arial Narrow" w:hAnsi="Arial Narrow" w:cs="Arial"/>
                <w:b/>
                <w:color w:val="000000"/>
                <w:sz w:val="18"/>
                <w:szCs w:val="18"/>
              </w:rPr>
              <w:t>Model Portfolio options</w:t>
            </w:r>
          </w:p>
        </w:tc>
        <w:tc>
          <w:tcPr>
            <w:tcW w:w="3672" w:type="dxa"/>
            <w:gridSpan w:val="4"/>
            <w:vAlign w:val="center"/>
          </w:tcPr>
          <w:p w14:paraId="33D52AE4" w14:textId="3BD3A771"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Average annual total return as of</w:t>
            </w:r>
            <w:r w:rsidR="004D7AFD" w:rsidRPr="001C277A">
              <w:rPr>
                <w:rFonts w:ascii="Arial Narrow" w:hAnsi="Arial Narrow" w:cs="Arial"/>
                <w:b/>
                <w:color w:val="000000"/>
                <w:sz w:val="18"/>
                <w:szCs w:val="18"/>
              </w:rPr>
              <w:t xml:space="preserve"> </w:t>
            </w:r>
            <w:bookmarkStart w:id="32" w:name="QEportfolioChart"/>
            <w:bookmarkEnd w:id="32"/>
            <w:r w:rsidR="00167F99" w:rsidRPr="001C277A">
              <w:rPr>
                <w:rFonts w:ascii="Arial Narrow" w:hAnsi="Arial Narrow" w:cs="Arial"/>
                <w:b/>
                <w:color w:val="000000"/>
                <w:sz w:val="18"/>
                <w:szCs w:val="18"/>
              </w:rPr>
              <w:t>3/31/2024</w:t>
            </w:r>
          </w:p>
        </w:tc>
        <w:tc>
          <w:tcPr>
            <w:tcW w:w="1872" w:type="dxa"/>
            <w:gridSpan w:val="2"/>
            <w:vAlign w:val="center"/>
          </w:tcPr>
          <w:p w14:paraId="13DB4745"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Total Weighted Average Expense Ratio*</w:t>
            </w:r>
          </w:p>
        </w:tc>
      </w:tr>
      <w:tr w:rsidR="001C2F11" w:rsidRPr="001C277A" w14:paraId="427BCC46" w14:textId="77777777" w:rsidTr="00167F99">
        <w:trPr>
          <w:trHeight w:val="440"/>
        </w:trPr>
        <w:tc>
          <w:tcPr>
            <w:tcW w:w="3958" w:type="dxa"/>
            <w:tcBorders>
              <w:top w:val="nil"/>
              <w:bottom w:val="nil"/>
            </w:tcBorders>
          </w:tcPr>
          <w:p w14:paraId="52F39743" w14:textId="77777777" w:rsidR="00E867BE" w:rsidRPr="001C277A" w:rsidRDefault="00E867BE" w:rsidP="00B94F0C">
            <w:pPr>
              <w:autoSpaceDE w:val="0"/>
              <w:autoSpaceDN w:val="0"/>
              <w:adjustRightInd w:val="0"/>
              <w:jc w:val="both"/>
              <w:rPr>
                <w:rFonts w:ascii="Arial Narrow" w:hAnsi="Arial Narrow" w:cs="Arial"/>
                <w:color w:val="000000"/>
                <w:sz w:val="18"/>
                <w:szCs w:val="18"/>
              </w:rPr>
            </w:pPr>
          </w:p>
        </w:tc>
        <w:tc>
          <w:tcPr>
            <w:tcW w:w="909" w:type="dxa"/>
            <w:vAlign w:val="center"/>
          </w:tcPr>
          <w:p w14:paraId="65FEB68F"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1-yr.</w:t>
            </w:r>
          </w:p>
        </w:tc>
        <w:tc>
          <w:tcPr>
            <w:tcW w:w="900" w:type="dxa"/>
            <w:vAlign w:val="center"/>
          </w:tcPr>
          <w:p w14:paraId="77AE8841"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5-yr.</w:t>
            </w:r>
          </w:p>
        </w:tc>
        <w:tc>
          <w:tcPr>
            <w:tcW w:w="783" w:type="dxa"/>
            <w:vAlign w:val="center"/>
          </w:tcPr>
          <w:p w14:paraId="7DAE0C90"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10-yr.</w:t>
            </w:r>
          </w:p>
        </w:tc>
        <w:tc>
          <w:tcPr>
            <w:tcW w:w="1080" w:type="dxa"/>
            <w:vAlign w:val="center"/>
          </w:tcPr>
          <w:p w14:paraId="1924E055"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Since Inception</w:t>
            </w:r>
          </w:p>
        </w:tc>
        <w:tc>
          <w:tcPr>
            <w:tcW w:w="1080" w:type="dxa"/>
            <w:vAlign w:val="center"/>
          </w:tcPr>
          <w:p w14:paraId="36BEE5A3"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As a %</w:t>
            </w:r>
          </w:p>
        </w:tc>
        <w:tc>
          <w:tcPr>
            <w:tcW w:w="792" w:type="dxa"/>
            <w:vAlign w:val="center"/>
          </w:tcPr>
          <w:p w14:paraId="547C6000" w14:textId="77777777" w:rsidR="00E867BE" w:rsidRPr="001C277A" w:rsidRDefault="00E867BE" w:rsidP="00E867BE">
            <w:pPr>
              <w:autoSpaceDE w:val="0"/>
              <w:autoSpaceDN w:val="0"/>
              <w:adjustRightInd w:val="0"/>
              <w:jc w:val="center"/>
              <w:rPr>
                <w:rFonts w:ascii="Arial Narrow" w:hAnsi="Arial Narrow" w:cs="Arial"/>
                <w:b/>
                <w:color w:val="000000"/>
                <w:sz w:val="18"/>
                <w:szCs w:val="18"/>
              </w:rPr>
            </w:pPr>
            <w:r w:rsidRPr="001C277A">
              <w:rPr>
                <w:rFonts w:ascii="Arial Narrow" w:hAnsi="Arial Narrow" w:cs="Arial"/>
                <w:b/>
                <w:color w:val="000000"/>
                <w:sz w:val="18"/>
                <w:szCs w:val="18"/>
              </w:rPr>
              <w:t>Per $1,000</w:t>
            </w:r>
          </w:p>
        </w:tc>
      </w:tr>
      <w:tr w:rsidR="00167F99" w:rsidRPr="001C277A" w14:paraId="06FBFADC" w14:textId="77777777" w:rsidTr="00167F99">
        <w:trPr>
          <w:trHeight w:val="320"/>
        </w:trPr>
        <w:tc>
          <w:tcPr>
            <w:tcW w:w="3958" w:type="dxa"/>
            <w:tcBorders>
              <w:top w:val="nil"/>
            </w:tcBorders>
            <w:shd w:val="clear" w:color="auto" w:fill="000000"/>
            <w:vAlign w:val="center"/>
          </w:tcPr>
          <w:p w14:paraId="19DCB31B" w14:textId="0BD37C94" w:rsidR="00167F99" w:rsidRPr="001C277A" w:rsidRDefault="00167F99" w:rsidP="00167F99">
            <w:pPr>
              <w:autoSpaceDE w:val="0"/>
              <w:autoSpaceDN w:val="0"/>
              <w:adjustRightInd w:val="0"/>
              <w:rPr>
                <w:rFonts w:ascii="Arial Narrow" w:hAnsi="Arial Narrow" w:cs="Arial"/>
                <w:b/>
                <w:color w:val="FFFFFF"/>
                <w:sz w:val="18"/>
                <w:szCs w:val="18"/>
              </w:rPr>
            </w:pPr>
            <w:r w:rsidRPr="001C277A">
              <w:rPr>
                <w:rFonts w:ascii="Arial Narrow" w:hAnsi="Arial Narrow" w:cs="Arial"/>
                <w:b/>
                <w:color w:val="FFFFFF"/>
                <w:sz w:val="18"/>
                <w:szCs w:val="18"/>
              </w:rPr>
              <w:t>Conservative Portfolios</w:t>
            </w:r>
          </w:p>
        </w:tc>
        <w:tc>
          <w:tcPr>
            <w:tcW w:w="909" w:type="dxa"/>
            <w:shd w:val="clear" w:color="auto" w:fill="000000"/>
            <w:vAlign w:val="center"/>
          </w:tcPr>
          <w:p w14:paraId="42CFC8E8" w14:textId="77777777" w:rsidR="00167F99" w:rsidRPr="001C277A" w:rsidRDefault="00167F99" w:rsidP="00167F99">
            <w:pPr>
              <w:autoSpaceDE w:val="0"/>
              <w:autoSpaceDN w:val="0"/>
              <w:adjustRightInd w:val="0"/>
              <w:rPr>
                <w:rFonts w:ascii="Arial Narrow" w:hAnsi="Arial Narrow" w:cs="Arial"/>
                <w:b/>
                <w:color w:val="FFFFFF"/>
                <w:sz w:val="18"/>
                <w:szCs w:val="18"/>
              </w:rPr>
            </w:pPr>
          </w:p>
        </w:tc>
        <w:tc>
          <w:tcPr>
            <w:tcW w:w="900" w:type="dxa"/>
            <w:shd w:val="clear" w:color="auto" w:fill="000000"/>
            <w:vAlign w:val="center"/>
          </w:tcPr>
          <w:p w14:paraId="385B4BAA" w14:textId="77777777" w:rsidR="00167F99" w:rsidRPr="001C277A" w:rsidRDefault="00167F99" w:rsidP="00167F99">
            <w:pPr>
              <w:autoSpaceDE w:val="0"/>
              <w:autoSpaceDN w:val="0"/>
              <w:adjustRightInd w:val="0"/>
              <w:rPr>
                <w:rFonts w:ascii="Arial Narrow" w:hAnsi="Arial Narrow" w:cs="Arial"/>
                <w:b/>
                <w:color w:val="FFFFFF"/>
                <w:sz w:val="18"/>
                <w:szCs w:val="18"/>
              </w:rPr>
            </w:pPr>
          </w:p>
        </w:tc>
        <w:tc>
          <w:tcPr>
            <w:tcW w:w="783" w:type="dxa"/>
            <w:shd w:val="clear" w:color="auto" w:fill="000000"/>
            <w:vAlign w:val="center"/>
          </w:tcPr>
          <w:p w14:paraId="21729B5E" w14:textId="77777777" w:rsidR="00167F99" w:rsidRPr="001C277A" w:rsidRDefault="00167F99" w:rsidP="00167F99">
            <w:pPr>
              <w:autoSpaceDE w:val="0"/>
              <w:autoSpaceDN w:val="0"/>
              <w:adjustRightInd w:val="0"/>
              <w:rPr>
                <w:rFonts w:ascii="Arial Narrow" w:hAnsi="Arial Narrow" w:cs="Arial"/>
                <w:b/>
                <w:color w:val="FFFFFF"/>
                <w:sz w:val="18"/>
                <w:szCs w:val="18"/>
              </w:rPr>
            </w:pPr>
          </w:p>
        </w:tc>
        <w:tc>
          <w:tcPr>
            <w:tcW w:w="1080" w:type="dxa"/>
            <w:shd w:val="clear" w:color="auto" w:fill="000000"/>
            <w:vAlign w:val="center"/>
          </w:tcPr>
          <w:p w14:paraId="44BF1A1F" w14:textId="77777777" w:rsidR="00167F99" w:rsidRPr="001C277A" w:rsidRDefault="00167F99" w:rsidP="00167F99">
            <w:pPr>
              <w:autoSpaceDE w:val="0"/>
              <w:autoSpaceDN w:val="0"/>
              <w:adjustRightInd w:val="0"/>
              <w:rPr>
                <w:rFonts w:ascii="Arial Narrow" w:hAnsi="Arial Narrow" w:cs="Arial"/>
                <w:b/>
                <w:color w:val="FFFFFF"/>
                <w:sz w:val="18"/>
                <w:szCs w:val="18"/>
              </w:rPr>
            </w:pPr>
          </w:p>
        </w:tc>
        <w:tc>
          <w:tcPr>
            <w:tcW w:w="1080" w:type="dxa"/>
            <w:shd w:val="clear" w:color="auto" w:fill="000000"/>
            <w:vAlign w:val="center"/>
          </w:tcPr>
          <w:p w14:paraId="725A0135" w14:textId="77777777" w:rsidR="00167F99" w:rsidRPr="001C277A" w:rsidRDefault="00167F99" w:rsidP="00167F99">
            <w:pPr>
              <w:autoSpaceDE w:val="0"/>
              <w:autoSpaceDN w:val="0"/>
              <w:adjustRightInd w:val="0"/>
              <w:rPr>
                <w:rFonts w:ascii="Arial Narrow" w:hAnsi="Arial Narrow" w:cs="Arial"/>
                <w:b/>
                <w:color w:val="FFFFFF"/>
                <w:sz w:val="18"/>
                <w:szCs w:val="18"/>
              </w:rPr>
            </w:pPr>
          </w:p>
        </w:tc>
        <w:tc>
          <w:tcPr>
            <w:tcW w:w="792" w:type="dxa"/>
            <w:shd w:val="clear" w:color="auto" w:fill="000000"/>
            <w:vAlign w:val="center"/>
          </w:tcPr>
          <w:p w14:paraId="01ED4851" w14:textId="77777777" w:rsidR="00167F99" w:rsidRPr="001C277A" w:rsidRDefault="00167F99" w:rsidP="00167F99">
            <w:pPr>
              <w:autoSpaceDE w:val="0"/>
              <w:autoSpaceDN w:val="0"/>
              <w:adjustRightInd w:val="0"/>
              <w:rPr>
                <w:rFonts w:ascii="Arial Narrow" w:hAnsi="Arial Narrow" w:cs="Arial"/>
                <w:b/>
                <w:color w:val="FFFFFF"/>
                <w:sz w:val="18"/>
                <w:szCs w:val="18"/>
              </w:rPr>
            </w:pPr>
          </w:p>
        </w:tc>
      </w:tr>
    </w:tbl>
    <w:tbl>
      <w:tblPr>
        <w:tblW w:w="9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13"/>
        <w:gridCol w:w="913"/>
        <w:gridCol w:w="778"/>
        <w:gridCol w:w="1080"/>
        <w:gridCol w:w="1080"/>
        <w:gridCol w:w="792"/>
      </w:tblGrid>
      <w:tr w:rsidR="00167F99" w:rsidRPr="001C277A" w14:paraId="6494DBE9"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563643CD" w14:textId="3DC57700" w:rsidR="00167F99" w:rsidRPr="001C277A" w:rsidRDefault="00167F99" w:rsidP="00167F99">
            <w:pPr>
              <w:autoSpaceDE w:val="0"/>
              <w:autoSpaceDN w:val="0"/>
              <w:adjustRightInd w:val="0"/>
              <w:spacing w:after="0" w:line="240" w:lineRule="auto"/>
              <w:rPr>
                <w:rFonts w:ascii="Arial Narrow" w:hAnsi="Arial Narrow" w:cs="Arial"/>
                <w:sz w:val="18"/>
                <w:szCs w:val="20"/>
              </w:rPr>
            </w:pPr>
            <w:bookmarkStart w:id="33" w:name="YourPathPara2"/>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Income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AD3F2D3" w14:textId="5B73106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30178350" w14:textId="6849B56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111554E1" w14:textId="6EC13D2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7A65F3C8" w14:textId="06531F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4463AC4" w14:textId="3DF9308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0.17%</w:t>
            </w:r>
          </w:p>
        </w:tc>
        <w:tc>
          <w:tcPr>
            <w:tcW w:w="792" w:type="dxa"/>
            <w:tcBorders>
              <w:top w:val="single" w:sz="4" w:space="0" w:color="auto"/>
              <w:left w:val="nil"/>
              <w:bottom w:val="nil"/>
              <w:right w:val="nil"/>
            </w:tcBorders>
            <w:shd w:val="clear" w:color="auto" w:fill="auto"/>
            <w:vAlign w:val="center"/>
          </w:tcPr>
          <w:p w14:paraId="05493577" w14:textId="1BC7987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$1.69</w:t>
            </w:r>
          </w:p>
        </w:tc>
      </w:tr>
      <w:tr w:rsidR="00167F99" w:rsidRPr="001C277A" w14:paraId="18968BC6" w14:textId="77777777" w:rsidTr="00CA5932">
        <w:trPr>
          <w:trHeight w:hRule="exact" w:val="230"/>
        </w:trPr>
        <w:tc>
          <w:tcPr>
            <w:tcW w:w="3960" w:type="dxa"/>
            <w:tcBorders>
              <w:top w:val="nil"/>
              <w:left w:val="nil"/>
              <w:bottom w:val="nil"/>
              <w:right w:val="nil"/>
            </w:tcBorders>
            <w:shd w:val="clear" w:color="auto" w:fill="auto"/>
            <w:vAlign w:val="center"/>
          </w:tcPr>
          <w:p w14:paraId="2C8D2729" w14:textId="627CEAB1"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 xml:space="preserve">Morningstar Lifetime Mod </w:t>
            </w:r>
            <w:proofErr w:type="spellStart"/>
            <w:r w:rsidRPr="001C277A">
              <w:rPr>
                <w:rFonts w:ascii="Arial Narrow" w:hAnsi="Arial Narrow" w:cs="Arial"/>
                <w:sz w:val="18"/>
                <w:szCs w:val="20"/>
              </w:rPr>
              <w:t>Incm</w:t>
            </w:r>
            <w:proofErr w:type="spellEnd"/>
            <w:r w:rsidRPr="001C277A">
              <w:rPr>
                <w:rFonts w:ascii="Arial Narrow" w:hAnsi="Arial Narrow" w:cs="Arial"/>
                <w:sz w:val="18"/>
                <w:szCs w:val="20"/>
              </w:rPr>
              <w:t xml:space="preserve"> TR USD</w:t>
            </w:r>
          </w:p>
        </w:tc>
        <w:tc>
          <w:tcPr>
            <w:tcW w:w="913" w:type="dxa"/>
            <w:tcBorders>
              <w:top w:val="nil"/>
              <w:left w:val="nil"/>
              <w:bottom w:val="nil"/>
              <w:right w:val="nil"/>
            </w:tcBorders>
            <w:shd w:val="clear" w:color="auto" w:fill="auto"/>
            <w:vAlign w:val="center"/>
          </w:tcPr>
          <w:p w14:paraId="3E242204" w14:textId="6D44783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8.47%</w:t>
            </w:r>
          </w:p>
        </w:tc>
        <w:tc>
          <w:tcPr>
            <w:tcW w:w="913" w:type="dxa"/>
            <w:tcBorders>
              <w:top w:val="nil"/>
              <w:left w:val="nil"/>
              <w:bottom w:val="nil"/>
              <w:right w:val="nil"/>
            </w:tcBorders>
            <w:shd w:val="clear" w:color="auto" w:fill="auto"/>
            <w:vAlign w:val="center"/>
          </w:tcPr>
          <w:p w14:paraId="0B39D04B" w14:textId="76C5CA9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auto"/>
            <w:vAlign w:val="center"/>
          </w:tcPr>
          <w:p w14:paraId="43F882BF" w14:textId="1CFA34F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4.02%</w:t>
            </w:r>
          </w:p>
        </w:tc>
        <w:tc>
          <w:tcPr>
            <w:tcW w:w="1080" w:type="dxa"/>
            <w:tcBorders>
              <w:top w:val="nil"/>
              <w:left w:val="nil"/>
              <w:bottom w:val="nil"/>
              <w:right w:val="nil"/>
            </w:tcBorders>
            <w:shd w:val="clear" w:color="auto" w:fill="auto"/>
            <w:vAlign w:val="center"/>
          </w:tcPr>
          <w:p w14:paraId="2FBCA763" w14:textId="45CE921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736E5E2C" w14:textId="20C661B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C1FBCB0" w14:textId="759F13D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42503D60"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248A04EF" w14:textId="1B4F52E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5DEC0A8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435BF43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39B4DDC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6AAC5E6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1AD6F3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2590E28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190F53A"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3B55D542" w14:textId="311C6253"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66E32BB4" w14:textId="28F4E3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3410735B" w14:textId="55B8E5F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7626312A" w14:textId="315C5AC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3239008F" w14:textId="3F12DB6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FD741CB" w14:textId="517711B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0.17%</w:t>
            </w:r>
          </w:p>
        </w:tc>
        <w:tc>
          <w:tcPr>
            <w:tcW w:w="792" w:type="dxa"/>
            <w:tcBorders>
              <w:top w:val="single" w:sz="4" w:space="0" w:color="auto"/>
              <w:left w:val="nil"/>
              <w:bottom w:val="nil"/>
              <w:right w:val="nil"/>
            </w:tcBorders>
            <w:shd w:val="clear" w:color="auto" w:fill="D9D9D9" w:themeFill="background1" w:themeFillShade="D9"/>
            <w:vAlign w:val="center"/>
          </w:tcPr>
          <w:p w14:paraId="1003EC67" w14:textId="5FEEC45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$1.67</w:t>
            </w:r>
          </w:p>
        </w:tc>
      </w:tr>
      <w:tr w:rsidR="00167F99" w:rsidRPr="001C277A" w14:paraId="4A3F07CD"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1B1D7911" w14:textId="6F1B2AA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2010 TR USD</w:t>
            </w:r>
          </w:p>
        </w:tc>
        <w:tc>
          <w:tcPr>
            <w:tcW w:w="913" w:type="dxa"/>
            <w:tcBorders>
              <w:top w:val="nil"/>
              <w:left w:val="nil"/>
              <w:bottom w:val="nil"/>
              <w:right w:val="nil"/>
            </w:tcBorders>
            <w:shd w:val="clear" w:color="auto" w:fill="D9D9D9" w:themeFill="background1" w:themeFillShade="D9"/>
            <w:vAlign w:val="center"/>
          </w:tcPr>
          <w:p w14:paraId="54BA49A1" w14:textId="004000B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8.38%</w:t>
            </w:r>
          </w:p>
        </w:tc>
        <w:tc>
          <w:tcPr>
            <w:tcW w:w="913" w:type="dxa"/>
            <w:tcBorders>
              <w:top w:val="nil"/>
              <w:left w:val="nil"/>
              <w:bottom w:val="nil"/>
              <w:right w:val="nil"/>
            </w:tcBorders>
            <w:shd w:val="clear" w:color="auto" w:fill="D9D9D9" w:themeFill="background1" w:themeFillShade="D9"/>
            <w:vAlign w:val="center"/>
          </w:tcPr>
          <w:p w14:paraId="09A79822" w14:textId="3268413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D9D9D9" w:themeFill="background1" w:themeFillShade="D9"/>
            <w:vAlign w:val="center"/>
          </w:tcPr>
          <w:p w14:paraId="7D840061" w14:textId="649B124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4.27%</w:t>
            </w:r>
          </w:p>
        </w:tc>
        <w:tc>
          <w:tcPr>
            <w:tcW w:w="1080" w:type="dxa"/>
            <w:tcBorders>
              <w:top w:val="nil"/>
              <w:left w:val="nil"/>
              <w:bottom w:val="nil"/>
              <w:right w:val="nil"/>
            </w:tcBorders>
            <w:shd w:val="clear" w:color="auto" w:fill="D9D9D9" w:themeFill="background1" w:themeFillShade="D9"/>
            <w:vAlign w:val="center"/>
          </w:tcPr>
          <w:p w14:paraId="4C0F73A3" w14:textId="2C183B1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07D40B5C" w14:textId="389F449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6CC48569" w14:textId="5116EB8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4C9DD6B"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50CD01A9" w14:textId="2F403FB8"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63C5949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2DE19FA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43B576E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239F0AC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276C669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04A90FA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B5571A5"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76125546" w14:textId="47F5C6FE"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385E4263" w14:textId="3ADFE87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13258F6F" w14:textId="3AE5460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2FC4308" w14:textId="08BBD0D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42A45C1A" w14:textId="2846685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66E3540" w14:textId="301ECFD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0.16%</w:t>
            </w:r>
          </w:p>
        </w:tc>
        <w:tc>
          <w:tcPr>
            <w:tcW w:w="792" w:type="dxa"/>
            <w:tcBorders>
              <w:top w:val="single" w:sz="4" w:space="0" w:color="auto"/>
              <w:left w:val="nil"/>
              <w:bottom w:val="nil"/>
              <w:right w:val="nil"/>
            </w:tcBorders>
            <w:shd w:val="clear" w:color="auto" w:fill="auto"/>
            <w:vAlign w:val="center"/>
          </w:tcPr>
          <w:p w14:paraId="3CFDAFFE" w14:textId="29174D7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$1.60</w:t>
            </w:r>
          </w:p>
        </w:tc>
      </w:tr>
      <w:tr w:rsidR="00167F99" w:rsidRPr="001C277A" w14:paraId="0121DDC8" w14:textId="77777777" w:rsidTr="00CA5932">
        <w:trPr>
          <w:trHeight w:hRule="exact" w:val="230"/>
        </w:trPr>
        <w:tc>
          <w:tcPr>
            <w:tcW w:w="3960" w:type="dxa"/>
            <w:tcBorders>
              <w:top w:val="nil"/>
              <w:left w:val="nil"/>
              <w:bottom w:val="nil"/>
              <w:right w:val="nil"/>
            </w:tcBorders>
            <w:shd w:val="clear" w:color="auto" w:fill="auto"/>
            <w:vAlign w:val="center"/>
          </w:tcPr>
          <w:p w14:paraId="40CFE834" w14:textId="0B460193"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2015 TR USD</w:t>
            </w:r>
          </w:p>
        </w:tc>
        <w:tc>
          <w:tcPr>
            <w:tcW w:w="913" w:type="dxa"/>
            <w:tcBorders>
              <w:top w:val="nil"/>
              <w:left w:val="nil"/>
              <w:bottom w:val="nil"/>
              <w:right w:val="nil"/>
            </w:tcBorders>
            <w:shd w:val="clear" w:color="auto" w:fill="auto"/>
            <w:vAlign w:val="center"/>
          </w:tcPr>
          <w:p w14:paraId="030BF8DF" w14:textId="17B7158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8.27%</w:t>
            </w:r>
          </w:p>
        </w:tc>
        <w:tc>
          <w:tcPr>
            <w:tcW w:w="913" w:type="dxa"/>
            <w:tcBorders>
              <w:top w:val="nil"/>
              <w:left w:val="nil"/>
              <w:bottom w:val="nil"/>
              <w:right w:val="nil"/>
            </w:tcBorders>
            <w:shd w:val="clear" w:color="auto" w:fill="auto"/>
            <w:vAlign w:val="center"/>
          </w:tcPr>
          <w:p w14:paraId="7D573EA7" w14:textId="65C2D3E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4.36%</w:t>
            </w:r>
          </w:p>
        </w:tc>
        <w:tc>
          <w:tcPr>
            <w:tcW w:w="778" w:type="dxa"/>
            <w:tcBorders>
              <w:top w:val="nil"/>
              <w:left w:val="nil"/>
              <w:bottom w:val="nil"/>
              <w:right w:val="nil"/>
            </w:tcBorders>
            <w:shd w:val="clear" w:color="auto" w:fill="auto"/>
            <w:vAlign w:val="center"/>
          </w:tcPr>
          <w:p w14:paraId="170B7CFE" w14:textId="7E48D31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4.44%</w:t>
            </w:r>
          </w:p>
        </w:tc>
        <w:tc>
          <w:tcPr>
            <w:tcW w:w="1080" w:type="dxa"/>
            <w:tcBorders>
              <w:top w:val="nil"/>
              <w:left w:val="nil"/>
              <w:bottom w:val="nil"/>
              <w:right w:val="nil"/>
            </w:tcBorders>
            <w:shd w:val="clear" w:color="auto" w:fill="auto"/>
            <w:vAlign w:val="center"/>
          </w:tcPr>
          <w:p w14:paraId="2EC6CB1B" w14:textId="4AD642E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1B6A9271" w14:textId="18D0E74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280C567" w14:textId="2145E02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3859C59F"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3ABBB916" w14:textId="66FF348F"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4EB842D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0DE9987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5589C21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20E828E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574F38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72AED62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652F909"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3C0A5666" w14:textId="38287D7A"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73A14B16" w14:textId="0462756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0DCA8880" w14:textId="503FDB1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2DE35391" w14:textId="3CC420C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509BCF1" w14:textId="4B2A209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1A2262B" w14:textId="2A31712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D9D9D9" w:themeFill="background1" w:themeFillShade="D9"/>
            <w:vAlign w:val="center"/>
          </w:tcPr>
          <w:p w14:paraId="249F1770" w14:textId="45CF1B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$1.54</w:t>
            </w:r>
          </w:p>
        </w:tc>
      </w:tr>
      <w:tr w:rsidR="00167F99" w:rsidRPr="001C277A" w14:paraId="09BF7331"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61E7CA36" w14:textId="10B2D940"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2020 TR USD</w:t>
            </w:r>
          </w:p>
        </w:tc>
        <w:tc>
          <w:tcPr>
            <w:tcW w:w="913" w:type="dxa"/>
            <w:tcBorders>
              <w:top w:val="nil"/>
              <w:left w:val="nil"/>
              <w:bottom w:val="nil"/>
              <w:right w:val="nil"/>
            </w:tcBorders>
            <w:shd w:val="clear" w:color="auto" w:fill="D9D9D9" w:themeFill="background1" w:themeFillShade="D9"/>
            <w:vAlign w:val="center"/>
          </w:tcPr>
          <w:p w14:paraId="14456CEF" w14:textId="3845137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8.48%</w:t>
            </w:r>
          </w:p>
        </w:tc>
        <w:tc>
          <w:tcPr>
            <w:tcW w:w="913" w:type="dxa"/>
            <w:tcBorders>
              <w:top w:val="nil"/>
              <w:left w:val="nil"/>
              <w:bottom w:val="nil"/>
              <w:right w:val="nil"/>
            </w:tcBorders>
            <w:shd w:val="clear" w:color="auto" w:fill="D9D9D9" w:themeFill="background1" w:themeFillShade="D9"/>
            <w:vAlign w:val="center"/>
          </w:tcPr>
          <w:p w14:paraId="4670D534" w14:textId="4D07897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4.54%</w:t>
            </w:r>
          </w:p>
        </w:tc>
        <w:tc>
          <w:tcPr>
            <w:tcW w:w="778" w:type="dxa"/>
            <w:tcBorders>
              <w:top w:val="nil"/>
              <w:left w:val="nil"/>
              <w:bottom w:val="nil"/>
              <w:right w:val="nil"/>
            </w:tcBorders>
            <w:shd w:val="clear" w:color="auto" w:fill="D9D9D9" w:themeFill="background1" w:themeFillShade="D9"/>
            <w:vAlign w:val="center"/>
          </w:tcPr>
          <w:p w14:paraId="71B0178F" w14:textId="3530F1D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4.71%</w:t>
            </w:r>
          </w:p>
        </w:tc>
        <w:tc>
          <w:tcPr>
            <w:tcW w:w="1080" w:type="dxa"/>
            <w:tcBorders>
              <w:top w:val="nil"/>
              <w:left w:val="nil"/>
              <w:bottom w:val="nil"/>
              <w:right w:val="nil"/>
            </w:tcBorders>
            <w:shd w:val="clear" w:color="auto" w:fill="D9D9D9" w:themeFill="background1" w:themeFillShade="D9"/>
            <w:vAlign w:val="center"/>
          </w:tcPr>
          <w:p w14:paraId="0B84C9D4" w14:textId="31BAC8F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003F8DAE" w14:textId="65BD130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212B0083" w14:textId="21900F8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F9D44B2"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2C443E8B" w14:textId="7F615C5E"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5120155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6DE8E7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330BE3A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6A29BD5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5E51582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71AF5D5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01AA332"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4C2C8059" w14:textId="18F355D6"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6244AE99" w14:textId="4A30ADB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7FEAFC5E" w14:textId="4885057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74E0ABB7" w14:textId="322EF32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6A287833" w14:textId="4E32177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2D982BF2" w14:textId="72BB58A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auto"/>
            <w:vAlign w:val="center"/>
          </w:tcPr>
          <w:p w14:paraId="41DAC093" w14:textId="18457E8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$1.48</w:t>
            </w:r>
          </w:p>
        </w:tc>
      </w:tr>
      <w:tr w:rsidR="00167F99" w:rsidRPr="001C277A" w14:paraId="2DB4BDDE" w14:textId="77777777" w:rsidTr="00CA5932">
        <w:trPr>
          <w:trHeight w:hRule="exact" w:val="230"/>
        </w:trPr>
        <w:tc>
          <w:tcPr>
            <w:tcW w:w="3960" w:type="dxa"/>
            <w:tcBorders>
              <w:top w:val="nil"/>
              <w:left w:val="nil"/>
              <w:bottom w:val="nil"/>
              <w:right w:val="nil"/>
            </w:tcBorders>
            <w:shd w:val="clear" w:color="auto" w:fill="auto"/>
            <w:vAlign w:val="center"/>
          </w:tcPr>
          <w:p w14:paraId="7A6B7B17" w14:textId="09E4C56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2025 TR USD</w:t>
            </w:r>
          </w:p>
        </w:tc>
        <w:tc>
          <w:tcPr>
            <w:tcW w:w="913" w:type="dxa"/>
            <w:tcBorders>
              <w:top w:val="nil"/>
              <w:left w:val="nil"/>
              <w:bottom w:val="nil"/>
              <w:right w:val="nil"/>
            </w:tcBorders>
            <w:shd w:val="clear" w:color="auto" w:fill="auto"/>
            <w:vAlign w:val="center"/>
          </w:tcPr>
          <w:p w14:paraId="085E1F77" w14:textId="28755BB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9.03%</w:t>
            </w:r>
          </w:p>
        </w:tc>
        <w:tc>
          <w:tcPr>
            <w:tcW w:w="913" w:type="dxa"/>
            <w:tcBorders>
              <w:top w:val="nil"/>
              <w:left w:val="nil"/>
              <w:bottom w:val="nil"/>
              <w:right w:val="nil"/>
            </w:tcBorders>
            <w:shd w:val="clear" w:color="auto" w:fill="auto"/>
            <w:vAlign w:val="center"/>
          </w:tcPr>
          <w:p w14:paraId="1DE9C052" w14:textId="394BE21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4.93%</w:t>
            </w:r>
          </w:p>
        </w:tc>
        <w:tc>
          <w:tcPr>
            <w:tcW w:w="778" w:type="dxa"/>
            <w:tcBorders>
              <w:top w:val="nil"/>
              <w:left w:val="nil"/>
              <w:bottom w:val="nil"/>
              <w:right w:val="nil"/>
            </w:tcBorders>
            <w:shd w:val="clear" w:color="auto" w:fill="auto"/>
            <w:vAlign w:val="center"/>
          </w:tcPr>
          <w:p w14:paraId="2B83C416" w14:textId="2F2D035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5.12%</w:t>
            </w:r>
          </w:p>
        </w:tc>
        <w:tc>
          <w:tcPr>
            <w:tcW w:w="1080" w:type="dxa"/>
            <w:tcBorders>
              <w:top w:val="nil"/>
              <w:left w:val="nil"/>
              <w:bottom w:val="nil"/>
              <w:right w:val="nil"/>
            </w:tcBorders>
            <w:shd w:val="clear" w:color="auto" w:fill="auto"/>
            <w:vAlign w:val="center"/>
          </w:tcPr>
          <w:p w14:paraId="79063F9A" w14:textId="6CE6E86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7FC2FF50" w14:textId="716F1E5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76C99061" w14:textId="4EEC0F4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F0C5A1C"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5632ED9E" w14:textId="17E9CDAC"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7AD2B23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000BF6C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607ABA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4F51F53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638757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0EFF9BE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252FCAA"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110CEDE0" w14:textId="24B3E239"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380E53D0" w14:textId="23FA5DB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18B21733" w14:textId="56EA8B2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0330C1B1" w14:textId="7EEA18A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08365B1" w14:textId="75C1DB8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BE0E83B" w14:textId="290F778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D9D9D9" w:themeFill="background1" w:themeFillShade="D9"/>
            <w:vAlign w:val="center"/>
          </w:tcPr>
          <w:p w14:paraId="0E3A015D" w14:textId="5169336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$1.40</w:t>
            </w:r>
          </w:p>
        </w:tc>
      </w:tr>
      <w:tr w:rsidR="00167F99" w:rsidRPr="001C277A" w14:paraId="1EC34B96"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76599661" w14:textId="45377237"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2030 TR USD</w:t>
            </w:r>
          </w:p>
        </w:tc>
        <w:tc>
          <w:tcPr>
            <w:tcW w:w="913" w:type="dxa"/>
            <w:tcBorders>
              <w:top w:val="nil"/>
              <w:left w:val="nil"/>
              <w:bottom w:val="nil"/>
              <w:right w:val="nil"/>
            </w:tcBorders>
            <w:shd w:val="clear" w:color="auto" w:fill="D9D9D9" w:themeFill="background1" w:themeFillShade="D9"/>
            <w:vAlign w:val="center"/>
          </w:tcPr>
          <w:p w14:paraId="65EB015F" w14:textId="7B256EB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10.04%</w:t>
            </w:r>
          </w:p>
        </w:tc>
        <w:tc>
          <w:tcPr>
            <w:tcW w:w="913" w:type="dxa"/>
            <w:tcBorders>
              <w:top w:val="nil"/>
              <w:left w:val="nil"/>
              <w:bottom w:val="nil"/>
              <w:right w:val="nil"/>
            </w:tcBorders>
            <w:shd w:val="clear" w:color="auto" w:fill="D9D9D9" w:themeFill="background1" w:themeFillShade="D9"/>
            <w:vAlign w:val="center"/>
          </w:tcPr>
          <w:p w14:paraId="03A0765A" w14:textId="661527F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5.62%</w:t>
            </w:r>
          </w:p>
        </w:tc>
        <w:tc>
          <w:tcPr>
            <w:tcW w:w="778" w:type="dxa"/>
            <w:tcBorders>
              <w:top w:val="nil"/>
              <w:left w:val="nil"/>
              <w:bottom w:val="nil"/>
              <w:right w:val="nil"/>
            </w:tcBorders>
            <w:shd w:val="clear" w:color="auto" w:fill="D9D9D9" w:themeFill="background1" w:themeFillShade="D9"/>
            <w:vAlign w:val="center"/>
          </w:tcPr>
          <w:p w14:paraId="3DE91032" w14:textId="54AA0AB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5.69%</w:t>
            </w:r>
          </w:p>
        </w:tc>
        <w:tc>
          <w:tcPr>
            <w:tcW w:w="1080" w:type="dxa"/>
            <w:tcBorders>
              <w:top w:val="nil"/>
              <w:left w:val="nil"/>
              <w:bottom w:val="nil"/>
              <w:right w:val="nil"/>
            </w:tcBorders>
            <w:shd w:val="clear" w:color="auto" w:fill="D9D9D9" w:themeFill="background1" w:themeFillShade="D9"/>
            <w:vAlign w:val="center"/>
          </w:tcPr>
          <w:p w14:paraId="311F1C2A" w14:textId="1A69D0D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11885479" w14:textId="687EABF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361D57EF" w14:textId="5E97077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0F77A333"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5A81978C" w14:textId="7BBCA2EE"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389FB0E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15235A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29E045A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BDD855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C513AB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7347403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35B37C1"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0C6B0104" w14:textId="3D76CE5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0012BC71" w14:textId="11D7AB2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69D3E130" w14:textId="19CE3AE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0072D9BE" w14:textId="17B5B4A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117ECF8" w14:textId="30E098F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1DEAC09C" w14:textId="33588F2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auto"/>
            <w:vAlign w:val="center"/>
          </w:tcPr>
          <w:p w14:paraId="51EBEFCC" w14:textId="67787BB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$1.38</w:t>
            </w:r>
          </w:p>
        </w:tc>
      </w:tr>
      <w:tr w:rsidR="00167F99" w:rsidRPr="001C277A" w14:paraId="0499E49E" w14:textId="77777777" w:rsidTr="00CA5932">
        <w:trPr>
          <w:trHeight w:hRule="exact" w:val="230"/>
        </w:trPr>
        <w:tc>
          <w:tcPr>
            <w:tcW w:w="3960" w:type="dxa"/>
            <w:tcBorders>
              <w:top w:val="nil"/>
              <w:left w:val="nil"/>
              <w:bottom w:val="nil"/>
              <w:right w:val="nil"/>
            </w:tcBorders>
            <w:shd w:val="clear" w:color="auto" w:fill="auto"/>
            <w:vAlign w:val="center"/>
          </w:tcPr>
          <w:p w14:paraId="7E847772" w14:textId="1EE436F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2035 TR USD</w:t>
            </w:r>
          </w:p>
        </w:tc>
        <w:tc>
          <w:tcPr>
            <w:tcW w:w="913" w:type="dxa"/>
            <w:tcBorders>
              <w:top w:val="nil"/>
              <w:left w:val="nil"/>
              <w:bottom w:val="nil"/>
              <w:right w:val="nil"/>
            </w:tcBorders>
            <w:shd w:val="clear" w:color="auto" w:fill="auto"/>
            <w:vAlign w:val="center"/>
          </w:tcPr>
          <w:p w14:paraId="3AE73F9C" w14:textId="341DC36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11.60%</w:t>
            </w:r>
          </w:p>
        </w:tc>
        <w:tc>
          <w:tcPr>
            <w:tcW w:w="913" w:type="dxa"/>
            <w:tcBorders>
              <w:top w:val="nil"/>
              <w:left w:val="nil"/>
              <w:bottom w:val="nil"/>
              <w:right w:val="nil"/>
            </w:tcBorders>
            <w:shd w:val="clear" w:color="auto" w:fill="auto"/>
            <w:vAlign w:val="center"/>
          </w:tcPr>
          <w:p w14:paraId="54800C6D" w14:textId="74DF05A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6.58%</w:t>
            </w:r>
          </w:p>
        </w:tc>
        <w:tc>
          <w:tcPr>
            <w:tcW w:w="778" w:type="dxa"/>
            <w:tcBorders>
              <w:top w:val="nil"/>
              <w:left w:val="nil"/>
              <w:bottom w:val="nil"/>
              <w:right w:val="nil"/>
            </w:tcBorders>
            <w:shd w:val="clear" w:color="auto" w:fill="auto"/>
            <w:vAlign w:val="center"/>
          </w:tcPr>
          <w:p w14:paraId="4F6999BF" w14:textId="2AEA09A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6.34%</w:t>
            </w:r>
          </w:p>
        </w:tc>
        <w:tc>
          <w:tcPr>
            <w:tcW w:w="1080" w:type="dxa"/>
            <w:tcBorders>
              <w:top w:val="nil"/>
              <w:left w:val="nil"/>
              <w:bottom w:val="nil"/>
              <w:right w:val="nil"/>
            </w:tcBorders>
            <w:shd w:val="clear" w:color="auto" w:fill="auto"/>
            <w:vAlign w:val="center"/>
          </w:tcPr>
          <w:p w14:paraId="213C20A9" w14:textId="6F8127E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1ABDB8EE" w14:textId="48E4B9C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7B6C4B83" w14:textId="09B7369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101D0F59"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31170ACA" w14:textId="45E27B8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5C05BDA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63487F9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F537CE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0EA7FF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6F3C9B8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0327275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99D7D4F"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5564E762" w14:textId="79DCFD2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1B0D775E" w14:textId="2DE995C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6EA8FFAD" w14:textId="7522ECA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64658855" w14:textId="57DD667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262C01B8" w14:textId="63B1764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14AA559" w14:textId="2A13ED8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27B5EEF9" w14:textId="598BCBB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$1.34</w:t>
            </w:r>
          </w:p>
        </w:tc>
      </w:tr>
      <w:tr w:rsidR="00167F99" w:rsidRPr="001C277A" w14:paraId="1DA4D5CD"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395E1324" w14:textId="57AADCD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2040 TR USD</w:t>
            </w:r>
          </w:p>
        </w:tc>
        <w:tc>
          <w:tcPr>
            <w:tcW w:w="913" w:type="dxa"/>
            <w:tcBorders>
              <w:top w:val="nil"/>
              <w:left w:val="nil"/>
              <w:bottom w:val="nil"/>
              <w:right w:val="nil"/>
            </w:tcBorders>
            <w:shd w:val="clear" w:color="auto" w:fill="D9D9D9" w:themeFill="background1" w:themeFillShade="D9"/>
            <w:vAlign w:val="center"/>
          </w:tcPr>
          <w:p w14:paraId="69111B0D" w14:textId="50E6BC8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13.32%</w:t>
            </w:r>
          </w:p>
        </w:tc>
        <w:tc>
          <w:tcPr>
            <w:tcW w:w="913" w:type="dxa"/>
            <w:tcBorders>
              <w:top w:val="nil"/>
              <w:left w:val="nil"/>
              <w:bottom w:val="nil"/>
              <w:right w:val="nil"/>
            </w:tcBorders>
            <w:shd w:val="clear" w:color="auto" w:fill="D9D9D9" w:themeFill="background1" w:themeFillShade="D9"/>
            <w:vAlign w:val="center"/>
          </w:tcPr>
          <w:p w14:paraId="5047ACCB" w14:textId="3EDB8F7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7.54%</w:t>
            </w:r>
          </w:p>
        </w:tc>
        <w:tc>
          <w:tcPr>
            <w:tcW w:w="778" w:type="dxa"/>
            <w:tcBorders>
              <w:top w:val="nil"/>
              <w:left w:val="nil"/>
              <w:bottom w:val="nil"/>
              <w:right w:val="nil"/>
            </w:tcBorders>
            <w:shd w:val="clear" w:color="auto" w:fill="D9D9D9" w:themeFill="background1" w:themeFillShade="D9"/>
            <w:vAlign w:val="center"/>
          </w:tcPr>
          <w:p w14:paraId="68BCD73D" w14:textId="081C7F5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6.90%</w:t>
            </w:r>
          </w:p>
        </w:tc>
        <w:tc>
          <w:tcPr>
            <w:tcW w:w="1080" w:type="dxa"/>
            <w:tcBorders>
              <w:top w:val="nil"/>
              <w:left w:val="nil"/>
              <w:bottom w:val="nil"/>
              <w:right w:val="nil"/>
            </w:tcBorders>
            <w:shd w:val="clear" w:color="auto" w:fill="D9D9D9" w:themeFill="background1" w:themeFillShade="D9"/>
            <w:vAlign w:val="center"/>
          </w:tcPr>
          <w:p w14:paraId="2F9A23CA" w14:textId="484DC05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475BD40C" w14:textId="69D78E2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28E2BE22" w14:textId="0D749CB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DC30D29"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12B4B7D9" w14:textId="3EDCE10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39FDC6D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7C2ED9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6C229E5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0722391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46F40E9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1BE00F9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14079F0B"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5E08224B" w14:textId="036D2B76"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9187F2B" w14:textId="0E2905C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3BD3925A" w14:textId="56CEF70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3EA258BE" w14:textId="5CE6FA8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753346E3" w14:textId="24257E4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4B3378D0" w14:textId="4D6A725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10AE9144" w14:textId="07B03EF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$1.30</w:t>
            </w:r>
          </w:p>
        </w:tc>
      </w:tr>
      <w:tr w:rsidR="00167F99" w:rsidRPr="001C277A" w14:paraId="1ECD643D" w14:textId="77777777" w:rsidTr="00CA5932">
        <w:trPr>
          <w:trHeight w:hRule="exact" w:val="230"/>
        </w:trPr>
        <w:tc>
          <w:tcPr>
            <w:tcW w:w="3960" w:type="dxa"/>
            <w:tcBorders>
              <w:top w:val="nil"/>
              <w:left w:val="nil"/>
              <w:bottom w:val="nil"/>
              <w:right w:val="nil"/>
            </w:tcBorders>
            <w:shd w:val="clear" w:color="auto" w:fill="auto"/>
            <w:vAlign w:val="center"/>
          </w:tcPr>
          <w:p w14:paraId="0A86271D" w14:textId="488B4363"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2045 TR USD</w:t>
            </w:r>
          </w:p>
        </w:tc>
        <w:tc>
          <w:tcPr>
            <w:tcW w:w="913" w:type="dxa"/>
            <w:tcBorders>
              <w:top w:val="nil"/>
              <w:left w:val="nil"/>
              <w:bottom w:val="nil"/>
              <w:right w:val="nil"/>
            </w:tcBorders>
            <w:shd w:val="clear" w:color="auto" w:fill="auto"/>
            <w:vAlign w:val="center"/>
          </w:tcPr>
          <w:p w14:paraId="579728D9" w14:textId="21A514E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14.61%</w:t>
            </w:r>
          </w:p>
        </w:tc>
        <w:tc>
          <w:tcPr>
            <w:tcW w:w="913" w:type="dxa"/>
            <w:tcBorders>
              <w:top w:val="nil"/>
              <w:left w:val="nil"/>
              <w:bottom w:val="nil"/>
              <w:right w:val="nil"/>
            </w:tcBorders>
            <w:shd w:val="clear" w:color="auto" w:fill="auto"/>
            <w:vAlign w:val="center"/>
          </w:tcPr>
          <w:p w14:paraId="5D06F834" w14:textId="551F463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8.19%</w:t>
            </w:r>
          </w:p>
        </w:tc>
        <w:tc>
          <w:tcPr>
            <w:tcW w:w="778" w:type="dxa"/>
            <w:tcBorders>
              <w:top w:val="nil"/>
              <w:left w:val="nil"/>
              <w:bottom w:val="nil"/>
              <w:right w:val="nil"/>
            </w:tcBorders>
            <w:shd w:val="clear" w:color="auto" w:fill="auto"/>
            <w:vAlign w:val="center"/>
          </w:tcPr>
          <w:p w14:paraId="6F6CC7E4" w14:textId="2BD4BE1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7.22%</w:t>
            </w:r>
          </w:p>
        </w:tc>
        <w:tc>
          <w:tcPr>
            <w:tcW w:w="1080" w:type="dxa"/>
            <w:tcBorders>
              <w:top w:val="nil"/>
              <w:left w:val="nil"/>
              <w:bottom w:val="nil"/>
              <w:right w:val="nil"/>
            </w:tcBorders>
            <w:shd w:val="clear" w:color="auto" w:fill="auto"/>
            <w:vAlign w:val="center"/>
          </w:tcPr>
          <w:p w14:paraId="3B3D7056" w14:textId="1B8C33B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3F0B6C7B" w14:textId="6CA9E83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344D9156" w14:textId="4D3FAC2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7364D64"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08A66275" w14:textId="6943AD26"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721BCE0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2FBC1D9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5EC7058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42C4C0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26CD08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2387AE4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1E628C9C"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5EB2AE1F" w14:textId="45B9123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07CECEBB" w14:textId="67FD98A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23DD8BE4" w14:textId="06D55CF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054C66E6" w14:textId="425C289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5F143A74" w14:textId="648E709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2613571F" w14:textId="47831A9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4F021814" w14:textId="0BA0E23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$1.29</w:t>
            </w:r>
          </w:p>
        </w:tc>
      </w:tr>
      <w:tr w:rsidR="00167F99" w:rsidRPr="001C277A" w14:paraId="0625CA1F"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50A6D1BE" w14:textId="72C7A801"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2050 TR USD</w:t>
            </w:r>
          </w:p>
        </w:tc>
        <w:tc>
          <w:tcPr>
            <w:tcW w:w="913" w:type="dxa"/>
            <w:tcBorders>
              <w:top w:val="nil"/>
              <w:left w:val="nil"/>
              <w:bottom w:val="nil"/>
              <w:right w:val="nil"/>
            </w:tcBorders>
            <w:shd w:val="clear" w:color="auto" w:fill="D9D9D9" w:themeFill="background1" w:themeFillShade="D9"/>
            <w:vAlign w:val="center"/>
          </w:tcPr>
          <w:p w14:paraId="2AC959B7" w14:textId="708516A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15.19%</w:t>
            </w:r>
          </w:p>
        </w:tc>
        <w:tc>
          <w:tcPr>
            <w:tcW w:w="913" w:type="dxa"/>
            <w:tcBorders>
              <w:top w:val="nil"/>
              <w:left w:val="nil"/>
              <w:bottom w:val="nil"/>
              <w:right w:val="nil"/>
            </w:tcBorders>
            <w:shd w:val="clear" w:color="auto" w:fill="D9D9D9" w:themeFill="background1" w:themeFillShade="D9"/>
            <w:vAlign w:val="center"/>
          </w:tcPr>
          <w:p w14:paraId="09838658" w14:textId="3CC34B9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8.43%</w:t>
            </w:r>
          </w:p>
        </w:tc>
        <w:tc>
          <w:tcPr>
            <w:tcW w:w="778" w:type="dxa"/>
            <w:tcBorders>
              <w:top w:val="nil"/>
              <w:left w:val="nil"/>
              <w:bottom w:val="nil"/>
              <w:right w:val="nil"/>
            </w:tcBorders>
            <w:shd w:val="clear" w:color="auto" w:fill="D9D9D9" w:themeFill="background1" w:themeFillShade="D9"/>
            <w:vAlign w:val="center"/>
          </w:tcPr>
          <w:p w14:paraId="15C58EAD" w14:textId="2B3836A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7.30%</w:t>
            </w:r>
          </w:p>
        </w:tc>
        <w:tc>
          <w:tcPr>
            <w:tcW w:w="1080" w:type="dxa"/>
            <w:tcBorders>
              <w:top w:val="nil"/>
              <w:left w:val="nil"/>
              <w:bottom w:val="nil"/>
              <w:right w:val="nil"/>
            </w:tcBorders>
            <w:shd w:val="clear" w:color="auto" w:fill="D9D9D9" w:themeFill="background1" w:themeFillShade="D9"/>
            <w:vAlign w:val="center"/>
          </w:tcPr>
          <w:p w14:paraId="56FF38DF" w14:textId="26965B9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18359B6E" w14:textId="7145B54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5B988B53" w14:textId="1A477E4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DB0580F"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0D0DBCDB" w14:textId="612F054C"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6312DBA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582459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51B40E6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0399D59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3FA30C7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6D21330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894AE08"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039EB080" w14:textId="4AE50B99"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9E5D7F7" w14:textId="4FFACA3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019B2B26" w14:textId="632D884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38D31391" w14:textId="64D32C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14A27573" w14:textId="144F760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7807E91" w14:textId="4770A8B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57844695" w14:textId="48044B3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$1.30</w:t>
            </w:r>
          </w:p>
        </w:tc>
      </w:tr>
      <w:tr w:rsidR="00167F99" w:rsidRPr="001C277A" w14:paraId="77411E66" w14:textId="77777777" w:rsidTr="00CA5932">
        <w:trPr>
          <w:trHeight w:hRule="exact" w:val="230"/>
        </w:trPr>
        <w:tc>
          <w:tcPr>
            <w:tcW w:w="3960" w:type="dxa"/>
            <w:tcBorders>
              <w:top w:val="nil"/>
              <w:left w:val="nil"/>
              <w:bottom w:val="nil"/>
              <w:right w:val="nil"/>
            </w:tcBorders>
            <w:shd w:val="clear" w:color="auto" w:fill="auto"/>
            <w:vAlign w:val="center"/>
          </w:tcPr>
          <w:p w14:paraId="45202541" w14:textId="1838170F"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2055 TR USD</w:t>
            </w:r>
          </w:p>
        </w:tc>
        <w:tc>
          <w:tcPr>
            <w:tcW w:w="913" w:type="dxa"/>
            <w:tcBorders>
              <w:top w:val="nil"/>
              <w:left w:val="nil"/>
              <w:bottom w:val="nil"/>
              <w:right w:val="nil"/>
            </w:tcBorders>
            <w:shd w:val="clear" w:color="auto" w:fill="auto"/>
            <w:vAlign w:val="center"/>
          </w:tcPr>
          <w:p w14:paraId="7D41FE7C" w14:textId="3AD9526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15.23%</w:t>
            </w:r>
          </w:p>
        </w:tc>
        <w:tc>
          <w:tcPr>
            <w:tcW w:w="913" w:type="dxa"/>
            <w:tcBorders>
              <w:top w:val="nil"/>
              <w:left w:val="nil"/>
              <w:bottom w:val="nil"/>
              <w:right w:val="nil"/>
            </w:tcBorders>
            <w:shd w:val="clear" w:color="auto" w:fill="auto"/>
            <w:vAlign w:val="center"/>
          </w:tcPr>
          <w:p w14:paraId="67CCCD03" w14:textId="3E3BC70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8.41%</w:t>
            </w:r>
          </w:p>
        </w:tc>
        <w:tc>
          <w:tcPr>
            <w:tcW w:w="778" w:type="dxa"/>
            <w:tcBorders>
              <w:top w:val="nil"/>
              <w:left w:val="nil"/>
              <w:bottom w:val="nil"/>
              <w:right w:val="nil"/>
            </w:tcBorders>
            <w:shd w:val="clear" w:color="auto" w:fill="auto"/>
            <w:vAlign w:val="center"/>
          </w:tcPr>
          <w:p w14:paraId="36E1D092" w14:textId="164E866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7.24%</w:t>
            </w:r>
          </w:p>
        </w:tc>
        <w:tc>
          <w:tcPr>
            <w:tcW w:w="1080" w:type="dxa"/>
            <w:tcBorders>
              <w:top w:val="nil"/>
              <w:left w:val="nil"/>
              <w:bottom w:val="nil"/>
              <w:right w:val="nil"/>
            </w:tcBorders>
            <w:shd w:val="clear" w:color="auto" w:fill="auto"/>
            <w:vAlign w:val="center"/>
          </w:tcPr>
          <w:p w14:paraId="100B3AC6" w14:textId="5D86B56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19DA6738" w14:textId="13E9C25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AB6860A" w14:textId="09D0D3C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32B8CB65"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3993BE95" w14:textId="765FA26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74033FE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3BB68E3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57A374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CA7AF8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6806B1B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63DD0FE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CA5932" w:rsidRPr="001C277A" w14:paraId="0B899880" w14:textId="77777777" w:rsidTr="00CA5932">
        <w:tc>
          <w:tcPr>
            <w:tcW w:w="3960" w:type="dxa"/>
            <w:tcBorders>
              <w:bottom w:val="nil"/>
            </w:tcBorders>
            <w:shd w:val="clear" w:color="auto" w:fill="FFFFFF"/>
            <w:vAlign w:val="center"/>
          </w:tcPr>
          <w:p w14:paraId="462B4ED7"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lastRenderedPageBreak/>
              <w:t>Model Portfolio options</w:t>
            </w:r>
          </w:p>
        </w:tc>
        <w:tc>
          <w:tcPr>
            <w:tcW w:w="3684" w:type="dxa"/>
            <w:gridSpan w:val="4"/>
            <w:tcBorders>
              <w:bottom w:val="single" w:sz="4" w:space="0" w:color="auto"/>
            </w:tcBorders>
            <w:shd w:val="clear" w:color="auto" w:fill="FFFFFF"/>
            <w:vAlign w:val="center"/>
          </w:tcPr>
          <w:p w14:paraId="067C73DD"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Average annual total return as of 3/31/2024</w:t>
            </w:r>
          </w:p>
        </w:tc>
        <w:tc>
          <w:tcPr>
            <w:tcW w:w="1872" w:type="dxa"/>
            <w:gridSpan w:val="2"/>
            <w:tcBorders>
              <w:bottom w:val="single" w:sz="4" w:space="0" w:color="auto"/>
            </w:tcBorders>
            <w:shd w:val="clear" w:color="auto" w:fill="FFFFFF"/>
            <w:vAlign w:val="center"/>
          </w:tcPr>
          <w:p w14:paraId="6F758C05"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Total Weighted Average Expense Ratio*</w:t>
            </w:r>
          </w:p>
        </w:tc>
      </w:tr>
      <w:tr w:rsidR="00CA5932" w:rsidRPr="001C277A" w14:paraId="2AE8EB13" w14:textId="77777777" w:rsidTr="00CA5932">
        <w:tc>
          <w:tcPr>
            <w:tcW w:w="3960" w:type="dxa"/>
            <w:tcBorders>
              <w:top w:val="nil"/>
              <w:bottom w:val="nil"/>
            </w:tcBorders>
            <w:shd w:val="clear" w:color="auto" w:fill="FFFFFF"/>
          </w:tcPr>
          <w:p w14:paraId="38AC2391" w14:textId="77777777" w:rsidR="00CA5932" w:rsidRPr="001C277A" w:rsidRDefault="00CA5932" w:rsidP="00923B68">
            <w:pPr>
              <w:autoSpaceDE w:val="0"/>
              <w:autoSpaceDN w:val="0"/>
              <w:adjustRightInd w:val="0"/>
              <w:spacing w:after="0" w:line="240" w:lineRule="auto"/>
              <w:jc w:val="both"/>
              <w:rPr>
                <w:rFonts w:cs="Arial"/>
                <w:color w:val="000000"/>
                <w:sz w:val="20"/>
                <w:szCs w:val="20"/>
              </w:rPr>
            </w:pPr>
          </w:p>
        </w:tc>
        <w:tc>
          <w:tcPr>
            <w:tcW w:w="913" w:type="dxa"/>
            <w:shd w:val="clear" w:color="auto" w:fill="FFFFFF"/>
            <w:vAlign w:val="center"/>
          </w:tcPr>
          <w:p w14:paraId="3EDD4CF0"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1-yr.</w:t>
            </w:r>
          </w:p>
        </w:tc>
        <w:tc>
          <w:tcPr>
            <w:tcW w:w="913" w:type="dxa"/>
            <w:shd w:val="clear" w:color="auto" w:fill="FFFFFF"/>
            <w:vAlign w:val="center"/>
          </w:tcPr>
          <w:p w14:paraId="4ADD762B"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5-yr.</w:t>
            </w:r>
          </w:p>
        </w:tc>
        <w:tc>
          <w:tcPr>
            <w:tcW w:w="778" w:type="dxa"/>
            <w:shd w:val="clear" w:color="auto" w:fill="FFFFFF"/>
            <w:vAlign w:val="center"/>
          </w:tcPr>
          <w:p w14:paraId="2D0B2770"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10-yr.</w:t>
            </w:r>
          </w:p>
        </w:tc>
        <w:tc>
          <w:tcPr>
            <w:tcW w:w="1080" w:type="dxa"/>
            <w:shd w:val="clear" w:color="auto" w:fill="FFFFFF"/>
            <w:vAlign w:val="center"/>
          </w:tcPr>
          <w:p w14:paraId="1FF4C908"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Since inception</w:t>
            </w:r>
          </w:p>
        </w:tc>
        <w:tc>
          <w:tcPr>
            <w:tcW w:w="1080" w:type="dxa"/>
            <w:shd w:val="clear" w:color="auto" w:fill="FFFFFF"/>
            <w:vAlign w:val="center"/>
          </w:tcPr>
          <w:p w14:paraId="0CD10D7A"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As a %</w:t>
            </w:r>
          </w:p>
        </w:tc>
        <w:tc>
          <w:tcPr>
            <w:tcW w:w="792" w:type="dxa"/>
            <w:shd w:val="clear" w:color="auto" w:fill="FFFFFF"/>
            <w:vAlign w:val="center"/>
          </w:tcPr>
          <w:p w14:paraId="4AFEC56E"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Per $1,000</w:t>
            </w:r>
          </w:p>
        </w:tc>
      </w:tr>
      <w:tr w:rsidR="00CA5932" w:rsidRPr="001C277A" w14:paraId="6A350DD3" w14:textId="77777777" w:rsidTr="00CA5932">
        <w:trPr>
          <w:trHeight w:val="320"/>
        </w:trPr>
        <w:tc>
          <w:tcPr>
            <w:tcW w:w="3960" w:type="dxa"/>
            <w:tcBorders>
              <w:top w:val="nil"/>
              <w:bottom w:val="single" w:sz="4" w:space="0" w:color="auto"/>
            </w:tcBorders>
            <w:shd w:val="clear" w:color="auto" w:fill="000000"/>
            <w:vAlign w:val="center"/>
          </w:tcPr>
          <w:p w14:paraId="448EF0C6" w14:textId="153F5431"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r w:rsidRPr="001C277A">
              <w:rPr>
                <w:rFonts w:ascii="Arial Narrow" w:hAnsi="Arial Narrow" w:cs="Arial"/>
                <w:b/>
                <w:color w:val="FFFFFF"/>
                <w:sz w:val="18"/>
                <w:szCs w:val="20"/>
              </w:rPr>
              <w:t>Conservative Portfolios (continued)</w:t>
            </w:r>
          </w:p>
        </w:tc>
        <w:tc>
          <w:tcPr>
            <w:tcW w:w="913" w:type="dxa"/>
            <w:tcBorders>
              <w:bottom w:val="single" w:sz="4" w:space="0" w:color="auto"/>
            </w:tcBorders>
            <w:shd w:val="clear" w:color="auto" w:fill="000000"/>
            <w:vAlign w:val="center"/>
          </w:tcPr>
          <w:p w14:paraId="3AB7B099"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913" w:type="dxa"/>
            <w:tcBorders>
              <w:bottom w:val="single" w:sz="4" w:space="0" w:color="auto"/>
            </w:tcBorders>
            <w:shd w:val="clear" w:color="auto" w:fill="000000"/>
            <w:vAlign w:val="center"/>
          </w:tcPr>
          <w:p w14:paraId="33FEC12A"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778" w:type="dxa"/>
            <w:tcBorders>
              <w:bottom w:val="single" w:sz="4" w:space="0" w:color="auto"/>
            </w:tcBorders>
            <w:shd w:val="clear" w:color="auto" w:fill="000000"/>
            <w:vAlign w:val="center"/>
          </w:tcPr>
          <w:p w14:paraId="4F452B18"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1080" w:type="dxa"/>
            <w:tcBorders>
              <w:bottom w:val="single" w:sz="4" w:space="0" w:color="auto"/>
            </w:tcBorders>
            <w:shd w:val="clear" w:color="auto" w:fill="000000"/>
            <w:vAlign w:val="center"/>
          </w:tcPr>
          <w:p w14:paraId="2B931275"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1080" w:type="dxa"/>
            <w:tcBorders>
              <w:bottom w:val="single" w:sz="4" w:space="0" w:color="auto"/>
            </w:tcBorders>
            <w:shd w:val="clear" w:color="auto" w:fill="000000"/>
            <w:vAlign w:val="center"/>
          </w:tcPr>
          <w:p w14:paraId="4437EB12"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792" w:type="dxa"/>
            <w:tcBorders>
              <w:bottom w:val="single" w:sz="4" w:space="0" w:color="auto"/>
            </w:tcBorders>
            <w:shd w:val="clear" w:color="auto" w:fill="000000"/>
            <w:vAlign w:val="center"/>
          </w:tcPr>
          <w:p w14:paraId="3041DFD7"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r>
      <w:tr w:rsidR="00167F99" w:rsidRPr="001C277A" w14:paraId="384D96C0"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6A467ED6" w14:textId="139D1E31"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2060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2D7CBFBE" w14:textId="0D9BFA7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25D4BA5C" w14:textId="33E5928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6CFE2932" w14:textId="0934492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D7F51D5" w14:textId="35E7F2E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8733D28" w14:textId="1E5F550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07FE0D36" w14:textId="4A4E9D3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$1.32</w:t>
            </w:r>
          </w:p>
        </w:tc>
      </w:tr>
      <w:tr w:rsidR="00167F99" w:rsidRPr="001C277A" w14:paraId="4B0F455D"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13EBBC37" w14:textId="23E4E39E"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D9D9D9" w:themeFill="background1" w:themeFillShade="D9"/>
            <w:vAlign w:val="center"/>
          </w:tcPr>
          <w:p w14:paraId="55A03417" w14:textId="1EFCEE4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D9D9D9" w:themeFill="background1" w:themeFillShade="D9"/>
            <w:vAlign w:val="center"/>
          </w:tcPr>
          <w:p w14:paraId="7DFB3357" w14:textId="684DF76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D9D9D9" w:themeFill="background1" w:themeFillShade="D9"/>
            <w:vAlign w:val="center"/>
          </w:tcPr>
          <w:p w14:paraId="28ED7A68" w14:textId="1218190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D9D9D9" w:themeFill="background1" w:themeFillShade="D9"/>
            <w:vAlign w:val="center"/>
          </w:tcPr>
          <w:p w14:paraId="397DAD8A" w14:textId="41861F9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25776518" w14:textId="517737E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706E1B03" w14:textId="65A8746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51C760D5"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793C5FFB" w14:textId="68DAA810"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1C3B1FD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2342288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3C1A2C5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5325041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4E1BB0F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175FD05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EB6B4F0"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3482592A" w14:textId="12480261"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2065 Conservative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07A37275" w14:textId="6F8FF6A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246AAFF2" w14:textId="00F5BC4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BECAEA8" w14:textId="6E44F3B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1F53168" w14:textId="664794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26753C79" w14:textId="6325F92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7A9DB1B0" w14:textId="42D479C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$1.32</w:t>
            </w:r>
          </w:p>
        </w:tc>
      </w:tr>
      <w:tr w:rsidR="00167F99" w:rsidRPr="001C277A" w14:paraId="28DDEEBC" w14:textId="77777777" w:rsidTr="00CA5932">
        <w:trPr>
          <w:trHeight w:hRule="exact" w:val="230"/>
        </w:trPr>
        <w:tc>
          <w:tcPr>
            <w:tcW w:w="3960" w:type="dxa"/>
            <w:tcBorders>
              <w:top w:val="nil"/>
              <w:left w:val="nil"/>
              <w:bottom w:val="nil"/>
              <w:right w:val="nil"/>
            </w:tcBorders>
            <w:shd w:val="clear" w:color="auto" w:fill="auto"/>
            <w:vAlign w:val="center"/>
          </w:tcPr>
          <w:p w14:paraId="7DDB6918" w14:textId="651C5C11"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auto"/>
            <w:vAlign w:val="center"/>
          </w:tcPr>
          <w:p w14:paraId="655BAA4A" w14:textId="0C04EAB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auto"/>
            <w:vAlign w:val="center"/>
          </w:tcPr>
          <w:p w14:paraId="08A0BA5E" w14:textId="33AE4A7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auto"/>
            <w:vAlign w:val="center"/>
          </w:tcPr>
          <w:p w14:paraId="191A67B1" w14:textId="406AE5E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auto"/>
            <w:vAlign w:val="center"/>
          </w:tcPr>
          <w:p w14:paraId="2508A5FA" w14:textId="6003D89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57D435E5" w14:textId="0E98FFB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03247660" w14:textId="1E9791D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8FCBB77" w14:textId="77777777" w:rsidTr="00CA5932">
        <w:trPr>
          <w:trHeight w:hRule="exact" w:val="230"/>
        </w:trPr>
        <w:tc>
          <w:tcPr>
            <w:tcW w:w="3960" w:type="dxa"/>
            <w:tcBorders>
              <w:top w:val="nil"/>
              <w:left w:val="nil"/>
              <w:bottom w:val="nil"/>
              <w:right w:val="nil"/>
            </w:tcBorders>
            <w:shd w:val="clear" w:color="auto" w:fill="auto"/>
            <w:vAlign w:val="center"/>
          </w:tcPr>
          <w:p w14:paraId="1377400E" w14:textId="12B0BD0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nil"/>
              <w:right w:val="nil"/>
            </w:tcBorders>
            <w:shd w:val="clear" w:color="auto" w:fill="auto"/>
            <w:vAlign w:val="center"/>
          </w:tcPr>
          <w:p w14:paraId="60E11EB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nil"/>
              <w:right w:val="nil"/>
            </w:tcBorders>
            <w:shd w:val="clear" w:color="auto" w:fill="auto"/>
            <w:vAlign w:val="center"/>
          </w:tcPr>
          <w:p w14:paraId="376362B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nil"/>
              <w:right w:val="nil"/>
            </w:tcBorders>
            <w:shd w:val="clear" w:color="auto" w:fill="auto"/>
            <w:vAlign w:val="center"/>
          </w:tcPr>
          <w:p w14:paraId="7ACDD37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auto"/>
            <w:vAlign w:val="center"/>
          </w:tcPr>
          <w:p w14:paraId="4536CB7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auto"/>
            <w:vAlign w:val="center"/>
          </w:tcPr>
          <w:p w14:paraId="622917B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nil"/>
              <w:right w:val="nil"/>
            </w:tcBorders>
            <w:shd w:val="clear" w:color="auto" w:fill="auto"/>
            <w:vAlign w:val="center"/>
          </w:tcPr>
          <w:p w14:paraId="5D7F556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1348FA0" w14:textId="77777777" w:rsidTr="00CA5932">
        <w:trPr>
          <w:trHeight w:hRule="exact" w:val="320"/>
        </w:trPr>
        <w:tc>
          <w:tcPr>
            <w:tcW w:w="3960" w:type="dxa"/>
            <w:tcBorders>
              <w:top w:val="nil"/>
              <w:left w:val="nil"/>
              <w:bottom w:val="nil"/>
              <w:right w:val="nil"/>
            </w:tcBorders>
            <w:shd w:val="clear" w:color="auto" w:fill="000000"/>
            <w:vAlign w:val="center"/>
          </w:tcPr>
          <w:p w14:paraId="249E1840" w14:textId="3876CF22"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r w:rsidRPr="001C277A">
              <w:rPr>
                <w:rFonts w:ascii="Arial Narrow" w:hAnsi="Arial Narrow" w:cs="Arial"/>
                <w:b/>
                <w:color w:val="FFFFFF"/>
                <w:sz w:val="18"/>
                <w:szCs w:val="20"/>
              </w:rPr>
              <w:t>Moderate Portfolios</w:t>
            </w:r>
          </w:p>
        </w:tc>
        <w:tc>
          <w:tcPr>
            <w:tcW w:w="913" w:type="dxa"/>
            <w:tcBorders>
              <w:top w:val="nil"/>
              <w:left w:val="nil"/>
              <w:bottom w:val="nil"/>
              <w:right w:val="nil"/>
            </w:tcBorders>
            <w:shd w:val="clear" w:color="auto" w:fill="000000"/>
            <w:vAlign w:val="center"/>
          </w:tcPr>
          <w:p w14:paraId="601513CF"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c>
          <w:tcPr>
            <w:tcW w:w="913" w:type="dxa"/>
            <w:tcBorders>
              <w:top w:val="nil"/>
              <w:left w:val="nil"/>
              <w:bottom w:val="nil"/>
              <w:right w:val="nil"/>
            </w:tcBorders>
            <w:shd w:val="clear" w:color="auto" w:fill="000000"/>
            <w:vAlign w:val="center"/>
          </w:tcPr>
          <w:p w14:paraId="23A5CDC2"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c>
          <w:tcPr>
            <w:tcW w:w="778" w:type="dxa"/>
            <w:tcBorders>
              <w:top w:val="nil"/>
              <w:left w:val="nil"/>
              <w:bottom w:val="nil"/>
              <w:right w:val="nil"/>
            </w:tcBorders>
            <w:shd w:val="clear" w:color="auto" w:fill="000000"/>
            <w:vAlign w:val="center"/>
          </w:tcPr>
          <w:p w14:paraId="2AD351FC"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c>
          <w:tcPr>
            <w:tcW w:w="1080" w:type="dxa"/>
            <w:tcBorders>
              <w:top w:val="nil"/>
              <w:left w:val="nil"/>
              <w:bottom w:val="nil"/>
              <w:right w:val="nil"/>
            </w:tcBorders>
            <w:shd w:val="clear" w:color="auto" w:fill="000000"/>
            <w:vAlign w:val="center"/>
          </w:tcPr>
          <w:p w14:paraId="07FD0778"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c>
          <w:tcPr>
            <w:tcW w:w="1080" w:type="dxa"/>
            <w:tcBorders>
              <w:top w:val="nil"/>
              <w:left w:val="nil"/>
              <w:bottom w:val="nil"/>
              <w:right w:val="nil"/>
            </w:tcBorders>
            <w:shd w:val="clear" w:color="auto" w:fill="000000"/>
            <w:vAlign w:val="center"/>
          </w:tcPr>
          <w:p w14:paraId="11142EAF"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c>
          <w:tcPr>
            <w:tcW w:w="792" w:type="dxa"/>
            <w:tcBorders>
              <w:top w:val="nil"/>
              <w:left w:val="nil"/>
              <w:bottom w:val="nil"/>
              <w:right w:val="nil"/>
            </w:tcBorders>
            <w:shd w:val="clear" w:color="auto" w:fill="000000"/>
            <w:vAlign w:val="center"/>
          </w:tcPr>
          <w:p w14:paraId="4E4FA9DE"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20"/>
              </w:rPr>
            </w:pPr>
          </w:p>
        </w:tc>
      </w:tr>
      <w:tr w:rsidR="00167F99" w:rsidRPr="001C277A" w14:paraId="00BB8E6C"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1D0B25BB" w14:textId="36536A1A"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Income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nil"/>
              <w:left w:val="nil"/>
              <w:bottom w:val="nil"/>
              <w:right w:val="nil"/>
            </w:tcBorders>
            <w:shd w:val="clear" w:color="auto" w:fill="D9D9D9" w:themeFill="background1" w:themeFillShade="D9"/>
            <w:vAlign w:val="center"/>
          </w:tcPr>
          <w:p w14:paraId="4FB3331A" w14:textId="391A290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nil"/>
              <w:left w:val="nil"/>
              <w:bottom w:val="nil"/>
              <w:right w:val="nil"/>
            </w:tcBorders>
            <w:shd w:val="clear" w:color="auto" w:fill="D9D9D9" w:themeFill="background1" w:themeFillShade="D9"/>
            <w:vAlign w:val="center"/>
          </w:tcPr>
          <w:p w14:paraId="28BC40D1" w14:textId="3BA4148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nil"/>
              <w:left w:val="nil"/>
              <w:bottom w:val="nil"/>
              <w:right w:val="nil"/>
            </w:tcBorders>
            <w:shd w:val="clear" w:color="auto" w:fill="D9D9D9" w:themeFill="background1" w:themeFillShade="D9"/>
            <w:vAlign w:val="center"/>
          </w:tcPr>
          <w:p w14:paraId="590F59A2" w14:textId="20B57BD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3CEE6F2C" w14:textId="6D5C519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222BC43A" w14:textId="09B355C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0.16%</w:t>
            </w:r>
          </w:p>
        </w:tc>
        <w:tc>
          <w:tcPr>
            <w:tcW w:w="792" w:type="dxa"/>
            <w:tcBorders>
              <w:top w:val="nil"/>
              <w:left w:val="nil"/>
              <w:bottom w:val="nil"/>
              <w:right w:val="nil"/>
            </w:tcBorders>
            <w:shd w:val="clear" w:color="auto" w:fill="D9D9D9" w:themeFill="background1" w:themeFillShade="D9"/>
            <w:vAlign w:val="center"/>
          </w:tcPr>
          <w:p w14:paraId="0413A55D" w14:textId="3FEE0B5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$1.60</w:t>
            </w:r>
          </w:p>
        </w:tc>
      </w:tr>
      <w:tr w:rsidR="00167F99" w:rsidRPr="001C277A" w14:paraId="79DDF081"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44785CEA" w14:textId="526083CB"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 xml:space="preserve">Morningstar Lifetime Mod </w:t>
            </w:r>
            <w:proofErr w:type="spellStart"/>
            <w:r w:rsidRPr="001C277A">
              <w:rPr>
                <w:rFonts w:ascii="Arial Narrow" w:hAnsi="Arial Narrow" w:cs="Arial"/>
                <w:sz w:val="18"/>
                <w:szCs w:val="20"/>
              </w:rPr>
              <w:t>Incm</w:t>
            </w:r>
            <w:proofErr w:type="spellEnd"/>
            <w:r w:rsidRPr="001C277A">
              <w:rPr>
                <w:rFonts w:ascii="Arial Narrow" w:hAnsi="Arial Narrow" w:cs="Arial"/>
                <w:sz w:val="18"/>
                <w:szCs w:val="20"/>
              </w:rPr>
              <w:t xml:space="preserve"> TR USD</w:t>
            </w:r>
          </w:p>
        </w:tc>
        <w:tc>
          <w:tcPr>
            <w:tcW w:w="913" w:type="dxa"/>
            <w:tcBorders>
              <w:top w:val="nil"/>
              <w:left w:val="nil"/>
              <w:bottom w:val="nil"/>
              <w:right w:val="nil"/>
            </w:tcBorders>
            <w:shd w:val="clear" w:color="auto" w:fill="D9D9D9" w:themeFill="background1" w:themeFillShade="D9"/>
            <w:vAlign w:val="center"/>
          </w:tcPr>
          <w:p w14:paraId="589150A0" w14:textId="5BACD13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8.47%</w:t>
            </w:r>
          </w:p>
        </w:tc>
        <w:tc>
          <w:tcPr>
            <w:tcW w:w="913" w:type="dxa"/>
            <w:tcBorders>
              <w:top w:val="nil"/>
              <w:left w:val="nil"/>
              <w:bottom w:val="nil"/>
              <w:right w:val="nil"/>
            </w:tcBorders>
            <w:shd w:val="clear" w:color="auto" w:fill="D9D9D9" w:themeFill="background1" w:themeFillShade="D9"/>
            <w:vAlign w:val="center"/>
          </w:tcPr>
          <w:p w14:paraId="59CEFF3D" w14:textId="0FE24BD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D9D9D9" w:themeFill="background1" w:themeFillShade="D9"/>
            <w:vAlign w:val="center"/>
          </w:tcPr>
          <w:p w14:paraId="75229D53" w14:textId="77839D4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4.02%</w:t>
            </w:r>
          </w:p>
        </w:tc>
        <w:tc>
          <w:tcPr>
            <w:tcW w:w="1080" w:type="dxa"/>
            <w:tcBorders>
              <w:top w:val="nil"/>
              <w:left w:val="nil"/>
              <w:bottom w:val="nil"/>
              <w:right w:val="nil"/>
            </w:tcBorders>
            <w:shd w:val="clear" w:color="auto" w:fill="D9D9D9" w:themeFill="background1" w:themeFillShade="D9"/>
            <w:vAlign w:val="center"/>
          </w:tcPr>
          <w:p w14:paraId="4BFA7502" w14:textId="0F351BB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6267B14E" w14:textId="0374DF1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3F09E689" w14:textId="359E9A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4DBEEE4"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29FDDCC2" w14:textId="246863AB"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nil"/>
              <w:right w:val="nil"/>
            </w:tcBorders>
            <w:shd w:val="clear" w:color="auto" w:fill="D9D9D9" w:themeFill="background1" w:themeFillShade="D9"/>
            <w:vAlign w:val="center"/>
          </w:tcPr>
          <w:p w14:paraId="0B0AD3D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nil"/>
              <w:right w:val="nil"/>
            </w:tcBorders>
            <w:shd w:val="clear" w:color="auto" w:fill="D9D9D9" w:themeFill="background1" w:themeFillShade="D9"/>
            <w:vAlign w:val="center"/>
          </w:tcPr>
          <w:p w14:paraId="396CF4D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nil"/>
              <w:right w:val="nil"/>
            </w:tcBorders>
            <w:shd w:val="clear" w:color="auto" w:fill="D9D9D9" w:themeFill="background1" w:themeFillShade="D9"/>
            <w:vAlign w:val="center"/>
          </w:tcPr>
          <w:p w14:paraId="23FA600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D9D9D9" w:themeFill="background1" w:themeFillShade="D9"/>
            <w:vAlign w:val="center"/>
          </w:tcPr>
          <w:p w14:paraId="5742F10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D9D9D9" w:themeFill="background1" w:themeFillShade="D9"/>
            <w:vAlign w:val="center"/>
          </w:tcPr>
          <w:p w14:paraId="3E2505B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nil"/>
              <w:right w:val="nil"/>
            </w:tcBorders>
            <w:shd w:val="clear" w:color="auto" w:fill="D9D9D9" w:themeFill="background1" w:themeFillShade="D9"/>
            <w:vAlign w:val="center"/>
          </w:tcPr>
          <w:p w14:paraId="2D58059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3D852EA8"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43783C3F" w14:textId="395BC2DE"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6AC2602" w14:textId="104F7E5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453B14DC" w14:textId="54AE923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069C18C3" w14:textId="482C342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2D6EA657" w14:textId="62DA874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8F0259C" w14:textId="74847BF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auto"/>
            <w:vAlign w:val="center"/>
          </w:tcPr>
          <w:p w14:paraId="7FDF8884" w14:textId="1994B66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$1.55</w:t>
            </w:r>
          </w:p>
        </w:tc>
      </w:tr>
      <w:tr w:rsidR="00167F99" w:rsidRPr="001C277A" w14:paraId="0D5BEE29" w14:textId="77777777" w:rsidTr="00CA5932">
        <w:trPr>
          <w:trHeight w:hRule="exact" w:val="230"/>
        </w:trPr>
        <w:tc>
          <w:tcPr>
            <w:tcW w:w="3960" w:type="dxa"/>
            <w:tcBorders>
              <w:top w:val="nil"/>
              <w:left w:val="nil"/>
              <w:bottom w:val="nil"/>
              <w:right w:val="nil"/>
            </w:tcBorders>
            <w:shd w:val="clear" w:color="auto" w:fill="auto"/>
            <w:vAlign w:val="center"/>
          </w:tcPr>
          <w:p w14:paraId="4D60EC5B" w14:textId="1ACC4EAC"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2010 TR USD</w:t>
            </w:r>
          </w:p>
        </w:tc>
        <w:tc>
          <w:tcPr>
            <w:tcW w:w="913" w:type="dxa"/>
            <w:tcBorders>
              <w:top w:val="nil"/>
              <w:left w:val="nil"/>
              <w:bottom w:val="nil"/>
              <w:right w:val="nil"/>
            </w:tcBorders>
            <w:shd w:val="clear" w:color="auto" w:fill="auto"/>
            <w:vAlign w:val="center"/>
          </w:tcPr>
          <w:p w14:paraId="1A583F0B" w14:textId="2AF2E3A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8.38%</w:t>
            </w:r>
          </w:p>
        </w:tc>
        <w:tc>
          <w:tcPr>
            <w:tcW w:w="913" w:type="dxa"/>
            <w:tcBorders>
              <w:top w:val="nil"/>
              <w:left w:val="nil"/>
              <w:bottom w:val="nil"/>
              <w:right w:val="nil"/>
            </w:tcBorders>
            <w:shd w:val="clear" w:color="auto" w:fill="auto"/>
            <w:vAlign w:val="center"/>
          </w:tcPr>
          <w:p w14:paraId="4677569F" w14:textId="4314E00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auto"/>
            <w:vAlign w:val="center"/>
          </w:tcPr>
          <w:p w14:paraId="6B42F27E" w14:textId="12E33C4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4.27%</w:t>
            </w:r>
          </w:p>
        </w:tc>
        <w:tc>
          <w:tcPr>
            <w:tcW w:w="1080" w:type="dxa"/>
            <w:tcBorders>
              <w:top w:val="nil"/>
              <w:left w:val="nil"/>
              <w:bottom w:val="nil"/>
              <w:right w:val="nil"/>
            </w:tcBorders>
            <w:shd w:val="clear" w:color="auto" w:fill="auto"/>
            <w:vAlign w:val="center"/>
          </w:tcPr>
          <w:p w14:paraId="025DB8B9" w14:textId="328BE0B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608448E1" w14:textId="3B39529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4DECB801" w14:textId="2121E02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15DB6437"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6ABFD3E2" w14:textId="1CA05B30"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5C30811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4BD5DA4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622A33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59DD3AC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72468B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6AD2037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2A316D4F"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135D5C53" w14:textId="453B4AB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7FABA26E" w14:textId="0EAF02B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768364B2" w14:textId="6B08CA7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29BB01EB" w14:textId="4B4C7E8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6455497" w14:textId="509F544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2CCACB85" w14:textId="0B70904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D9D9D9" w:themeFill="background1" w:themeFillShade="D9"/>
            <w:vAlign w:val="center"/>
          </w:tcPr>
          <w:p w14:paraId="7AEE7CAA" w14:textId="785B593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$1.50</w:t>
            </w:r>
          </w:p>
        </w:tc>
      </w:tr>
      <w:tr w:rsidR="00167F99" w:rsidRPr="001C277A" w14:paraId="6BDAA0CA"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4FFB25AF" w14:textId="3D575507"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2015 TR USD</w:t>
            </w:r>
          </w:p>
        </w:tc>
        <w:tc>
          <w:tcPr>
            <w:tcW w:w="913" w:type="dxa"/>
            <w:tcBorders>
              <w:top w:val="nil"/>
              <w:left w:val="nil"/>
              <w:bottom w:val="nil"/>
              <w:right w:val="nil"/>
            </w:tcBorders>
            <w:shd w:val="clear" w:color="auto" w:fill="D9D9D9" w:themeFill="background1" w:themeFillShade="D9"/>
            <w:vAlign w:val="center"/>
          </w:tcPr>
          <w:p w14:paraId="70E1895B" w14:textId="5A65B9E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8.27%</w:t>
            </w:r>
          </w:p>
        </w:tc>
        <w:tc>
          <w:tcPr>
            <w:tcW w:w="913" w:type="dxa"/>
            <w:tcBorders>
              <w:top w:val="nil"/>
              <w:left w:val="nil"/>
              <w:bottom w:val="nil"/>
              <w:right w:val="nil"/>
            </w:tcBorders>
            <w:shd w:val="clear" w:color="auto" w:fill="D9D9D9" w:themeFill="background1" w:themeFillShade="D9"/>
            <w:vAlign w:val="center"/>
          </w:tcPr>
          <w:p w14:paraId="175F5FA6" w14:textId="0B99638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4.36%</w:t>
            </w:r>
          </w:p>
        </w:tc>
        <w:tc>
          <w:tcPr>
            <w:tcW w:w="778" w:type="dxa"/>
            <w:tcBorders>
              <w:top w:val="nil"/>
              <w:left w:val="nil"/>
              <w:bottom w:val="nil"/>
              <w:right w:val="nil"/>
            </w:tcBorders>
            <w:shd w:val="clear" w:color="auto" w:fill="D9D9D9" w:themeFill="background1" w:themeFillShade="D9"/>
            <w:vAlign w:val="center"/>
          </w:tcPr>
          <w:p w14:paraId="40E512E2" w14:textId="168CFE8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4.44%</w:t>
            </w:r>
          </w:p>
        </w:tc>
        <w:tc>
          <w:tcPr>
            <w:tcW w:w="1080" w:type="dxa"/>
            <w:tcBorders>
              <w:top w:val="nil"/>
              <w:left w:val="nil"/>
              <w:bottom w:val="nil"/>
              <w:right w:val="nil"/>
            </w:tcBorders>
            <w:shd w:val="clear" w:color="auto" w:fill="D9D9D9" w:themeFill="background1" w:themeFillShade="D9"/>
            <w:vAlign w:val="center"/>
          </w:tcPr>
          <w:p w14:paraId="2F124F0E" w14:textId="3A0C4C0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6C6F9597" w14:textId="04CD154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0FCAA2F7" w14:textId="4AB6779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E3505D7"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3DC58417" w14:textId="032DF33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5D694C2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2B9C7B2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2D2D0CA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344AAD0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2FDC708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36D6EC5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258CB547"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5632053A" w14:textId="2213266F"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57FF6ECB" w14:textId="53B6284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7D4A41BA" w14:textId="0E34B96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4C87090" w14:textId="17B8D34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892FEAF" w14:textId="288DE2C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7A414627" w14:textId="66417E3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auto"/>
            <w:vAlign w:val="center"/>
          </w:tcPr>
          <w:p w14:paraId="352D4A6B" w14:textId="7993542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$1.43</w:t>
            </w:r>
          </w:p>
        </w:tc>
      </w:tr>
      <w:tr w:rsidR="00167F99" w:rsidRPr="001C277A" w14:paraId="520CE954" w14:textId="77777777" w:rsidTr="00CA5932">
        <w:trPr>
          <w:trHeight w:hRule="exact" w:val="230"/>
        </w:trPr>
        <w:tc>
          <w:tcPr>
            <w:tcW w:w="3960" w:type="dxa"/>
            <w:tcBorders>
              <w:top w:val="nil"/>
              <w:left w:val="nil"/>
              <w:bottom w:val="nil"/>
              <w:right w:val="nil"/>
            </w:tcBorders>
            <w:shd w:val="clear" w:color="auto" w:fill="auto"/>
            <w:vAlign w:val="center"/>
          </w:tcPr>
          <w:p w14:paraId="5BAC3B09" w14:textId="5460113C"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2020 TR USD</w:t>
            </w:r>
          </w:p>
        </w:tc>
        <w:tc>
          <w:tcPr>
            <w:tcW w:w="913" w:type="dxa"/>
            <w:tcBorders>
              <w:top w:val="nil"/>
              <w:left w:val="nil"/>
              <w:bottom w:val="nil"/>
              <w:right w:val="nil"/>
            </w:tcBorders>
            <w:shd w:val="clear" w:color="auto" w:fill="auto"/>
            <w:vAlign w:val="center"/>
          </w:tcPr>
          <w:p w14:paraId="7961BBCE" w14:textId="0481FCD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8.48%</w:t>
            </w:r>
          </w:p>
        </w:tc>
        <w:tc>
          <w:tcPr>
            <w:tcW w:w="913" w:type="dxa"/>
            <w:tcBorders>
              <w:top w:val="nil"/>
              <w:left w:val="nil"/>
              <w:bottom w:val="nil"/>
              <w:right w:val="nil"/>
            </w:tcBorders>
            <w:shd w:val="clear" w:color="auto" w:fill="auto"/>
            <w:vAlign w:val="center"/>
          </w:tcPr>
          <w:p w14:paraId="356ED17C" w14:textId="09CDC05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4.54%</w:t>
            </w:r>
          </w:p>
        </w:tc>
        <w:tc>
          <w:tcPr>
            <w:tcW w:w="778" w:type="dxa"/>
            <w:tcBorders>
              <w:top w:val="nil"/>
              <w:left w:val="nil"/>
              <w:bottom w:val="nil"/>
              <w:right w:val="nil"/>
            </w:tcBorders>
            <w:shd w:val="clear" w:color="auto" w:fill="auto"/>
            <w:vAlign w:val="center"/>
          </w:tcPr>
          <w:p w14:paraId="7767616D" w14:textId="3558833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4.71%</w:t>
            </w:r>
          </w:p>
        </w:tc>
        <w:tc>
          <w:tcPr>
            <w:tcW w:w="1080" w:type="dxa"/>
            <w:tcBorders>
              <w:top w:val="nil"/>
              <w:left w:val="nil"/>
              <w:bottom w:val="nil"/>
              <w:right w:val="nil"/>
            </w:tcBorders>
            <w:shd w:val="clear" w:color="auto" w:fill="auto"/>
            <w:vAlign w:val="center"/>
          </w:tcPr>
          <w:p w14:paraId="54119B91" w14:textId="1FAF15B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4289E503" w14:textId="1AE02E6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3F238E0A" w14:textId="2560C5A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D37C417"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49309C92" w14:textId="0F6A8CD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68F3574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5A68B24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7D8D674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4BFDBD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F60D6A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011712C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5F585430"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5EF70519" w14:textId="5AA2A7E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458B8319" w14:textId="2D111DE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143128F5" w14:textId="04B58CA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3CFCEE6F" w14:textId="43E192B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E53F157" w14:textId="3FC5A11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55E685B" w14:textId="1BC0B9F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D9D9D9" w:themeFill="background1" w:themeFillShade="D9"/>
            <w:vAlign w:val="center"/>
          </w:tcPr>
          <w:p w14:paraId="11D6250E" w14:textId="4BAAA8F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$1.39</w:t>
            </w:r>
          </w:p>
        </w:tc>
      </w:tr>
      <w:tr w:rsidR="00167F99" w:rsidRPr="001C277A" w14:paraId="4EDDD98F"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6E5A7982" w14:textId="2FF01140"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2025 TR USD</w:t>
            </w:r>
          </w:p>
        </w:tc>
        <w:tc>
          <w:tcPr>
            <w:tcW w:w="913" w:type="dxa"/>
            <w:tcBorders>
              <w:top w:val="nil"/>
              <w:left w:val="nil"/>
              <w:bottom w:val="nil"/>
              <w:right w:val="nil"/>
            </w:tcBorders>
            <w:shd w:val="clear" w:color="auto" w:fill="D9D9D9" w:themeFill="background1" w:themeFillShade="D9"/>
            <w:vAlign w:val="center"/>
          </w:tcPr>
          <w:p w14:paraId="1FF45ADA" w14:textId="27D296F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9.03%</w:t>
            </w:r>
          </w:p>
        </w:tc>
        <w:tc>
          <w:tcPr>
            <w:tcW w:w="913" w:type="dxa"/>
            <w:tcBorders>
              <w:top w:val="nil"/>
              <w:left w:val="nil"/>
              <w:bottom w:val="nil"/>
              <w:right w:val="nil"/>
            </w:tcBorders>
            <w:shd w:val="clear" w:color="auto" w:fill="D9D9D9" w:themeFill="background1" w:themeFillShade="D9"/>
            <w:vAlign w:val="center"/>
          </w:tcPr>
          <w:p w14:paraId="7C4E22F3" w14:textId="54F6965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4.93%</w:t>
            </w:r>
          </w:p>
        </w:tc>
        <w:tc>
          <w:tcPr>
            <w:tcW w:w="778" w:type="dxa"/>
            <w:tcBorders>
              <w:top w:val="nil"/>
              <w:left w:val="nil"/>
              <w:bottom w:val="nil"/>
              <w:right w:val="nil"/>
            </w:tcBorders>
            <w:shd w:val="clear" w:color="auto" w:fill="D9D9D9" w:themeFill="background1" w:themeFillShade="D9"/>
            <w:vAlign w:val="center"/>
          </w:tcPr>
          <w:p w14:paraId="5C9FC899" w14:textId="12F15C5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5.12%</w:t>
            </w:r>
          </w:p>
        </w:tc>
        <w:tc>
          <w:tcPr>
            <w:tcW w:w="1080" w:type="dxa"/>
            <w:tcBorders>
              <w:top w:val="nil"/>
              <w:left w:val="nil"/>
              <w:bottom w:val="nil"/>
              <w:right w:val="nil"/>
            </w:tcBorders>
            <w:shd w:val="clear" w:color="auto" w:fill="D9D9D9" w:themeFill="background1" w:themeFillShade="D9"/>
            <w:vAlign w:val="center"/>
          </w:tcPr>
          <w:p w14:paraId="78DF8D64" w14:textId="506F86C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3340202D" w14:textId="6192B46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3E1F3916" w14:textId="5420602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D43581D"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5BAF1A6C" w14:textId="1B9842F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6795805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D68908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5F7D2A2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5FC6693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59C031E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3D478EF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44E30465"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09F4857D" w14:textId="542C7D91"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04B1C728" w14:textId="49DA0C9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33320C98" w14:textId="4D2148A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219EC80" w14:textId="10EC318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792B6B3" w14:textId="503547E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277E6D1" w14:textId="27157CA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3CDEA815" w14:textId="7E5B206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$1.34</w:t>
            </w:r>
          </w:p>
        </w:tc>
      </w:tr>
      <w:tr w:rsidR="00167F99" w:rsidRPr="001C277A" w14:paraId="225F6EEE" w14:textId="77777777" w:rsidTr="00CA5932">
        <w:trPr>
          <w:trHeight w:hRule="exact" w:val="230"/>
        </w:trPr>
        <w:tc>
          <w:tcPr>
            <w:tcW w:w="3960" w:type="dxa"/>
            <w:tcBorders>
              <w:top w:val="nil"/>
              <w:left w:val="nil"/>
              <w:bottom w:val="nil"/>
              <w:right w:val="nil"/>
            </w:tcBorders>
            <w:shd w:val="clear" w:color="auto" w:fill="auto"/>
            <w:vAlign w:val="center"/>
          </w:tcPr>
          <w:p w14:paraId="26468135" w14:textId="422F6CB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2030 TR USD</w:t>
            </w:r>
          </w:p>
        </w:tc>
        <w:tc>
          <w:tcPr>
            <w:tcW w:w="913" w:type="dxa"/>
            <w:tcBorders>
              <w:top w:val="nil"/>
              <w:left w:val="nil"/>
              <w:bottom w:val="nil"/>
              <w:right w:val="nil"/>
            </w:tcBorders>
            <w:shd w:val="clear" w:color="auto" w:fill="auto"/>
            <w:vAlign w:val="center"/>
          </w:tcPr>
          <w:p w14:paraId="79D79AFA" w14:textId="306B650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10.04%</w:t>
            </w:r>
          </w:p>
        </w:tc>
        <w:tc>
          <w:tcPr>
            <w:tcW w:w="913" w:type="dxa"/>
            <w:tcBorders>
              <w:top w:val="nil"/>
              <w:left w:val="nil"/>
              <w:bottom w:val="nil"/>
              <w:right w:val="nil"/>
            </w:tcBorders>
            <w:shd w:val="clear" w:color="auto" w:fill="auto"/>
            <w:vAlign w:val="center"/>
          </w:tcPr>
          <w:p w14:paraId="5F616905" w14:textId="23108E1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5.62%</w:t>
            </w:r>
          </w:p>
        </w:tc>
        <w:tc>
          <w:tcPr>
            <w:tcW w:w="778" w:type="dxa"/>
            <w:tcBorders>
              <w:top w:val="nil"/>
              <w:left w:val="nil"/>
              <w:bottom w:val="nil"/>
              <w:right w:val="nil"/>
            </w:tcBorders>
            <w:shd w:val="clear" w:color="auto" w:fill="auto"/>
            <w:vAlign w:val="center"/>
          </w:tcPr>
          <w:p w14:paraId="3706DCED" w14:textId="4D29126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5.69%</w:t>
            </w:r>
          </w:p>
        </w:tc>
        <w:tc>
          <w:tcPr>
            <w:tcW w:w="1080" w:type="dxa"/>
            <w:tcBorders>
              <w:top w:val="nil"/>
              <w:left w:val="nil"/>
              <w:bottom w:val="nil"/>
              <w:right w:val="nil"/>
            </w:tcBorders>
            <w:shd w:val="clear" w:color="auto" w:fill="auto"/>
            <w:vAlign w:val="center"/>
          </w:tcPr>
          <w:p w14:paraId="1D565075" w14:textId="3BB3DCC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1359629C" w14:textId="7E296C3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728C6CC" w14:textId="1629ADD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F52E406"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1A95BEB0" w14:textId="5A02BDA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7DC1392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78BB925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4EEA24E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796207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25681C5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26142EC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470AD6B7"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060AFFBC" w14:textId="05DBF2CA"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6F018B63" w14:textId="61FDEDB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294D48BB" w14:textId="6595B0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14EBF9D7" w14:textId="3AAE11C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3BDC60A8" w14:textId="42EBF74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1074E5AD" w14:textId="717B04C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6F9BCCC0" w14:textId="1774701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$1.30</w:t>
            </w:r>
          </w:p>
        </w:tc>
      </w:tr>
      <w:tr w:rsidR="00167F99" w:rsidRPr="001C277A" w14:paraId="6B76F60A"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0EDFCE17" w14:textId="4DC9BDC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2035 TR USD</w:t>
            </w:r>
          </w:p>
        </w:tc>
        <w:tc>
          <w:tcPr>
            <w:tcW w:w="913" w:type="dxa"/>
            <w:tcBorders>
              <w:top w:val="nil"/>
              <w:left w:val="nil"/>
              <w:bottom w:val="nil"/>
              <w:right w:val="nil"/>
            </w:tcBorders>
            <w:shd w:val="clear" w:color="auto" w:fill="D9D9D9" w:themeFill="background1" w:themeFillShade="D9"/>
            <w:vAlign w:val="center"/>
          </w:tcPr>
          <w:p w14:paraId="3AF1EF05" w14:textId="4F81E3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11.60%</w:t>
            </w:r>
          </w:p>
        </w:tc>
        <w:tc>
          <w:tcPr>
            <w:tcW w:w="913" w:type="dxa"/>
            <w:tcBorders>
              <w:top w:val="nil"/>
              <w:left w:val="nil"/>
              <w:bottom w:val="nil"/>
              <w:right w:val="nil"/>
            </w:tcBorders>
            <w:shd w:val="clear" w:color="auto" w:fill="D9D9D9" w:themeFill="background1" w:themeFillShade="D9"/>
            <w:vAlign w:val="center"/>
          </w:tcPr>
          <w:p w14:paraId="6E6B622A" w14:textId="450E8E9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6.58%</w:t>
            </w:r>
          </w:p>
        </w:tc>
        <w:tc>
          <w:tcPr>
            <w:tcW w:w="778" w:type="dxa"/>
            <w:tcBorders>
              <w:top w:val="nil"/>
              <w:left w:val="nil"/>
              <w:bottom w:val="nil"/>
              <w:right w:val="nil"/>
            </w:tcBorders>
            <w:shd w:val="clear" w:color="auto" w:fill="D9D9D9" w:themeFill="background1" w:themeFillShade="D9"/>
            <w:vAlign w:val="center"/>
          </w:tcPr>
          <w:p w14:paraId="28A1CCCF" w14:textId="5A8013E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6.34%</w:t>
            </w:r>
          </w:p>
        </w:tc>
        <w:tc>
          <w:tcPr>
            <w:tcW w:w="1080" w:type="dxa"/>
            <w:tcBorders>
              <w:top w:val="nil"/>
              <w:left w:val="nil"/>
              <w:bottom w:val="nil"/>
              <w:right w:val="nil"/>
            </w:tcBorders>
            <w:shd w:val="clear" w:color="auto" w:fill="D9D9D9" w:themeFill="background1" w:themeFillShade="D9"/>
            <w:vAlign w:val="center"/>
          </w:tcPr>
          <w:p w14:paraId="623AFC3C" w14:textId="7E87C2A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0BEB7E3D" w14:textId="3944778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6456A7F9" w14:textId="12AA930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02E676BE"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4743FC69" w14:textId="5E660BB2"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16372FF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E391A0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4FA8A14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3405B7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2700C37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63565AC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5A1B30CD"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198A9500" w14:textId="602BFEDD"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482EC60" w14:textId="12DD4EB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5DB314BC" w14:textId="4F2066B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3A2F65DC" w14:textId="29115DD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47638289" w14:textId="1A49AF0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4F93A4E6" w14:textId="17CCD36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6E29F14E" w14:textId="27D5BAF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$1.28</w:t>
            </w:r>
          </w:p>
        </w:tc>
      </w:tr>
      <w:tr w:rsidR="00167F99" w:rsidRPr="001C277A" w14:paraId="0079BFFE" w14:textId="77777777" w:rsidTr="00CA5932">
        <w:trPr>
          <w:trHeight w:hRule="exact" w:val="230"/>
        </w:trPr>
        <w:tc>
          <w:tcPr>
            <w:tcW w:w="3960" w:type="dxa"/>
            <w:tcBorders>
              <w:top w:val="nil"/>
              <w:left w:val="nil"/>
              <w:bottom w:val="nil"/>
              <w:right w:val="nil"/>
            </w:tcBorders>
            <w:shd w:val="clear" w:color="auto" w:fill="auto"/>
            <w:vAlign w:val="center"/>
          </w:tcPr>
          <w:p w14:paraId="053460C7" w14:textId="59C72ACB"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2040 TR USD</w:t>
            </w:r>
          </w:p>
        </w:tc>
        <w:tc>
          <w:tcPr>
            <w:tcW w:w="913" w:type="dxa"/>
            <w:tcBorders>
              <w:top w:val="nil"/>
              <w:left w:val="nil"/>
              <w:bottom w:val="nil"/>
              <w:right w:val="nil"/>
            </w:tcBorders>
            <w:shd w:val="clear" w:color="auto" w:fill="auto"/>
            <w:vAlign w:val="center"/>
          </w:tcPr>
          <w:p w14:paraId="457161A6" w14:textId="48C19E7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13.32%</w:t>
            </w:r>
          </w:p>
        </w:tc>
        <w:tc>
          <w:tcPr>
            <w:tcW w:w="913" w:type="dxa"/>
            <w:tcBorders>
              <w:top w:val="nil"/>
              <w:left w:val="nil"/>
              <w:bottom w:val="nil"/>
              <w:right w:val="nil"/>
            </w:tcBorders>
            <w:shd w:val="clear" w:color="auto" w:fill="auto"/>
            <w:vAlign w:val="center"/>
          </w:tcPr>
          <w:p w14:paraId="29BBEF5A" w14:textId="46E81B2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7.54%</w:t>
            </w:r>
          </w:p>
        </w:tc>
        <w:tc>
          <w:tcPr>
            <w:tcW w:w="778" w:type="dxa"/>
            <w:tcBorders>
              <w:top w:val="nil"/>
              <w:left w:val="nil"/>
              <w:bottom w:val="nil"/>
              <w:right w:val="nil"/>
            </w:tcBorders>
            <w:shd w:val="clear" w:color="auto" w:fill="auto"/>
            <w:vAlign w:val="center"/>
          </w:tcPr>
          <w:p w14:paraId="29DA2591" w14:textId="5167B48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6.90%</w:t>
            </w:r>
          </w:p>
        </w:tc>
        <w:tc>
          <w:tcPr>
            <w:tcW w:w="1080" w:type="dxa"/>
            <w:tcBorders>
              <w:top w:val="nil"/>
              <w:left w:val="nil"/>
              <w:bottom w:val="nil"/>
              <w:right w:val="nil"/>
            </w:tcBorders>
            <w:shd w:val="clear" w:color="auto" w:fill="auto"/>
            <w:vAlign w:val="center"/>
          </w:tcPr>
          <w:p w14:paraId="30DFE54C" w14:textId="1284E8A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186C623D" w14:textId="0FDDE0B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11017888" w14:textId="4E0310C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56F5ABD"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36341CB6" w14:textId="3BF8DCDA"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083E3A4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564E7D3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1C25EB5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5C22BF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51D87E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48F2CB5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5514B9BF"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63CEF35F" w14:textId="1726B9EB"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155B66B8" w14:textId="43B7249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6E806733" w14:textId="6402B15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4F03FEDF" w14:textId="565AD25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75587DA" w14:textId="75451F9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5749A40A" w14:textId="77DA9E1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3F26F869" w14:textId="18F0442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$1.28</w:t>
            </w:r>
          </w:p>
        </w:tc>
      </w:tr>
      <w:tr w:rsidR="00167F99" w:rsidRPr="001C277A" w14:paraId="080E4685"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111B2856" w14:textId="26B40C5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2045 TR USD</w:t>
            </w:r>
          </w:p>
        </w:tc>
        <w:tc>
          <w:tcPr>
            <w:tcW w:w="913" w:type="dxa"/>
            <w:tcBorders>
              <w:top w:val="nil"/>
              <w:left w:val="nil"/>
              <w:bottom w:val="nil"/>
              <w:right w:val="nil"/>
            </w:tcBorders>
            <w:shd w:val="clear" w:color="auto" w:fill="D9D9D9" w:themeFill="background1" w:themeFillShade="D9"/>
            <w:vAlign w:val="center"/>
          </w:tcPr>
          <w:p w14:paraId="59E71DE4" w14:textId="644A765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14.61%</w:t>
            </w:r>
          </w:p>
        </w:tc>
        <w:tc>
          <w:tcPr>
            <w:tcW w:w="913" w:type="dxa"/>
            <w:tcBorders>
              <w:top w:val="nil"/>
              <w:left w:val="nil"/>
              <w:bottom w:val="nil"/>
              <w:right w:val="nil"/>
            </w:tcBorders>
            <w:shd w:val="clear" w:color="auto" w:fill="D9D9D9" w:themeFill="background1" w:themeFillShade="D9"/>
            <w:vAlign w:val="center"/>
          </w:tcPr>
          <w:p w14:paraId="1272ABF1" w14:textId="17ABCB4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8.19%</w:t>
            </w:r>
          </w:p>
        </w:tc>
        <w:tc>
          <w:tcPr>
            <w:tcW w:w="778" w:type="dxa"/>
            <w:tcBorders>
              <w:top w:val="nil"/>
              <w:left w:val="nil"/>
              <w:bottom w:val="nil"/>
              <w:right w:val="nil"/>
            </w:tcBorders>
            <w:shd w:val="clear" w:color="auto" w:fill="D9D9D9" w:themeFill="background1" w:themeFillShade="D9"/>
            <w:vAlign w:val="center"/>
          </w:tcPr>
          <w:p w14:paraId="543AF68B" w14:textId="34A2B93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7.22%</w:t>
            </w:r>
          </w:p>
        </w:tc>
        <w:tc>
          <w:tcPr>
            <w:tcW w:w="1080" w:type="dxa"/>
            <w:tcBorders>
              <w:top w:val="nil"/>
              <w:left w:val="nil"/>
              <w:bottom w:val="nil"/>
              <w:right w:val="nil"/>
            </w:tcBorders>
            <w:shd w:val="clear" w:color="auto" w:fill="D9D9D9" w:themeFill="background1" w:themeFillShade="D9"/>
            <w:vAlign w:val="center"/>
          </w:tcPr>
          <w:p w14:paraId="751122F6" w14:textId="61A92D7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2D7729DC" w14:textId="3241A23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4F8DA560" w14:textId="1AF9FBF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17112FD"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6C7CC1A9" w14:textId="49F24EA6"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091E6D2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F4E354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265EC2E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C67F72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5B8167D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0E79605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3B520AE5"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1588B2BC" w14:textId="5578C65C"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383D8128" w14:textId="155EA91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2A90B17A" w14:textId="6B899FE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0BF555E9" w14:textId="19C79AB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DED9526" w14:textId="19870A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7E7FB3E9" w14:textId="6CA9429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0425DB13" w14:textId="346D2A2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$1.32</w:t>
            </w:r>
          </w:p>
        </w:tc>
      </w:tr>
      <w:tr w:rsidR="00167F99" w:rsidRPr="001C277A" w14:paraId="4E152760" w14:textId="77777777" w:rsidTr="00CA5932">
        <w:trPr>
          <w:trHeight w:hRule="exact" w:val="230"/>
        </w:trPr>
        <w:tc>
          <w:tcPr>
            <w:tcW w:w="3960" w:type="dxa"/>
            <w:tcBorders>
              <w:top w:val="nil"/>
              <w:left w:val="nil"/>
              <w:bottom w:val="nil"/>
              <w:right w:val="nil"/>
            </w:tcBorders>
            <w:shd w:val="clear" w:color="auto" w:fill="auto"/>
            <w:vAlign w:val="center"/>
          </w:tcPr>
          <w:p w14:paraId="528E1FA2" w14:textId="1C94628C"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2050 TR USD</w:t>
            </w:r>
          </w:p>
        </w:tc>
        <w:tc>
          <w:tcPr>
            <w:tcW w:w="913" w:type="dxa"/>
            <w:tcBorders>
              <w:top w:val="nil"/>
              <w:left w:val="nil"/>
              <w:bottom w:val="nil"/>
              <w:right w:val="nil"/>
            </w:tcBorders>
            <w:shd w:val="clear" w:color="auto" w:fill="auto"/>
            <w:vAlign w:val="center"/>
          </w:tcPr>
          <w:p w14:paraId="31606CD5" w14:textId="0395521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15.19%</w:t>
            </w:r>
          </w:p>
        </w:tc>
        <w:tc>
          <w:tcPr>
            <w:tcW w:w="913" w:type="dxa"/>
            <w:tcBorders>
              <w:top w:val="nil"/>
              <w:left w:val="nil"/>
              <w:bottom w:val="nil"/>
              <w:right w:val="nil"/>
            </w:tcBorders>
            <w:shd w:val="clear" w:color="auto" w:fill="auto"/>
            <w:vAlign w:val="center"/>
          </w:tcPr>
          <w:p w14:paraId="5B3BFF32" w14:textId="127A8C1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8.43%</w:t>
            </w:r>
          </w:p>
        </w:tc>
        <w:tc>
          <w:tcPr>
            <w:tcW w:w="778" w:type="dxa"/>
            <w:tcBorders>
              <w:top w:val="nil"/>
              <w:left w:val="nil"/>
              <w:bottom w:val="nil"/>
              <w:right w:val="nil"/>
            </w:tcBorders>
            <w:shd w:val="clear" w:color="auto" w:fill="auto"/>
            <w:vAlign w:val="center"/>
          </w:tcPr>
          <w:p w14:paraId="27B9F682" w14:textId="025D9C3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7.30%</w:t>
            </w:r>
          </w:p>
        </w:tc>
        <w:tc>
          <w:tcPr>
            <w:tcW w:w="1080" w:type="dxa"/>
            <w:tcBorders>
              <w:top w:val="nil"/>
              <w:left w:val="nil"/>
              <w:bottom w:val="nil"/>
              <w:right w:val="nil"/>
            </w:tcBorders>
            <w:shd w:val="clear" w:color="auto" w:fill="auto"/>
            <w:vAlign w:val="center"/>
          </w:tcPr>
          <w:p w14:paraId="2432AECC" w14:textId="5C3D8FA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47688C38" w14:textId="40BC54E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10D81E75" w14:textId="141125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6CDE7D08"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58C6C68C" w14:textId="2E6F9451"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5CBBD2E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2C9602C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11F4EAC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BE08CE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089FF8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791D1C9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4A03F14E"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1B72E06B" w14:textId="144D09C4"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211830F4" w14:textId="6A7C622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381AD071" w14:textId="40CEEDC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77BB43AF" w14:textId="5D84C32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6207919" w14:textId="4940BE6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6D29CE9" w14:textId="53D4AD6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58DA4E8A" w14:textId="210D7FF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w:t>
            </w:r>
          </w:p>
        </w:tc>
      </w:tr>
      <w:tr w:rsidR="00167F99" w:rsidRPr="001C277A" w14:paraId="705C8345"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411DF517" w14:textId="2824EAF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2055 TR USD</w:t>
            </w:r>
          </w:p>
        </w:tc>
        <w:tc>
          <w:tcPr>
            <w:tcW w:w="913" w:type="dxa"/>
            <w:tcBorders>
              <w:top w:val="nil"/>
              <w:left w:val="nil"/>
              <w:bottom w:val="nil"/>
              <w:right w:val="nil"/>
            </w:tcBorders>
            <w:shd w:val="clear" w:color="auto" w:fill="D9D9D9" w:themeFill="background1" w:themeFillShade="D9"/>
            <w:vAlign w:val="center"/>
          </w:tcPr>
          <w:p w14:paraId="35505583" w14:textId="2B57248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15.23%</w:t>
            </w:r>
          </w:p>
        </w:tc>
        <w:tc>
          <w:tcPr>
            <w:tcW w:w="913" w:type="dxa"/>
            <w:tcBorders>
              <w:top w:val="nil"/>
              <w:left w:val="nil"/>
              <w:bottom w:val="nil"/>
              <w:right w:val="nil"/>
            </w:tcBorders>
            <w:shd w:val="clear" w:color="auto" w:fill="D9D9D9" w:themeFill="background1" w:themeFillShade="D9"/>
            <w:vAlign w:val="center"/>
          </w:tcPr>
          <w:p w14:paraId="65ED5A7B" w14:textId="49203EB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8.41%</w:t>
            </w:r>
          </w:p>
        </w:tc>
        <w:tc>
          <w:tcPr>
            <w:tcW w:w="778" w:type="dxa"/>
            <w:tcBorders>
              <w:top w:val="nil"/>
              <w:left w:val="nil"/>
              <w:bottom w:val="nil"/>
              <w:right w:val="nil"/>
            </w:tcBorders>
            <w:shd w:val="clear" w:color="auto" w:fill="D9D9D9" w:themeFill="background1" w:themeFillShade="D9"/>
            <w:vAlign w:val="center"/>
          </w:tcPr>
          <w:p w14:paraId="5DB4FCFE" w14:textId="75136BE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7.24%</w:t>
            </w:r>
          </w:p>
        </w:tc>
        <w:tc>
          <w:tcPr>
            <w:tcW w:w="1080" w:type="dxa"/>
            <w:tcBorders>
              <w:top w:val="nil"/>
              <w:left w:val="nil"/>
              <w:bottom w:val="nil"/>
              <w:right w:val="nil"/>
            </w:tcBorders>
            <w:shd w:val="clear" w:color="auto" w:fill="D9D9D9" w:themeFill="background1" w:themeFillShade="D9"/>
            <w:vAlign w:val="center"/>
          </w:tcPr>
          <w:p w14:paraId="035A9416" w14:textId="051FE40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44EFD47A" w14:textId="337A8E5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3FB726E9" w14:textId="7FB4991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1F414EA5"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0DF1EFA4" w14:textId="2772D819"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1583272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382662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1C94BAB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0CC815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08B6FB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5049189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5DCA913C"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03DAF5D4" w14:textId="3F329665"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2060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02157B4B" w14:textId="12C0743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0D27A558" w14:textId="7C380FF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44FEE42F" w14:textId="0DC86AD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184A6ED" w14:textId="5CB78F4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9047DB4" w14:textId="0901449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1C5757A8" w14:textId="10B1BAA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$1.34</w:t>
            </w:r>
          </w:p>
        </w:tc>
      </w:tr>
      <w:tr w:rsidR="00167F99" w:rsidRPr="001C277A" w14:paraId="112DBBF9" w14:textId="77777777" w:rsidTr="00CA5932">
        <w:trPr>
          <w:trHeight w:hRule="exact" w:val="230"/>
        </w:trPr>
        <w:tc>
          <w:tcPr>
            <w:tcW w:w="3960" w:type="dxa"/>
            <w:tcBorders>
              <w:top w:val="nil"/>
              <w:left w:val="nil"/>
              <w:bottom w:val="nil"/>
              <w:right w:val="nil"/>
            </w:tcBorders>
            <w:shd w:val="clear" w:color="auto" w:fill="auto"/>
            <w:vAlign w:val="center"/>
          </w:tcPr>
          <w:p w14:paraId="7FEA70FD" w14:textId="2290FF73"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auto"/>
            <w:vAlign w:val="center"/>
          </w:tcPr>
          <w:p w14:paraId="5FFD90E5" w14:textId="2FA496E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auto"/>
            <w:vAlign w:val="center"/>
          </w:tcPr>
          <w:p w14:paraId="1DAC8C1E" w14:textId="583DD14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auto"/>
            <w:vAlign w:val="center"/>
          </w:tcPr>
          <w:p w14:paraId="7F881617" w14:textId="5692042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auto"/>
            <w:vAlign w:val="center"/>
          </w:tcPr>
          <w:p w14:paraId="22C45D3A" w14:textId="3AB54B7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6239510F" w14:textId="581C05A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4BE7A83B" w14:textId="46114B6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18501886"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2A8798BE" w14:textId="53C99CA1"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2EFB852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02309BC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1DD54DB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B12CA8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AEFBF1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1A826B0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346E4474"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02BA5309" w14:textId="0544E605"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2065 Moderate</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41102FED" w14:textId="3F38F30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250B5EA9" w14:textId="06D1447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403B2F6B" w14:textId="253D588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3996F44A" w14:textId="3D7A538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F267B3E" w14:textId="18E3B1D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3252FADA" w14:textId="7229933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$1.34</w:t>
            </w:r>
          </w:p>
        </w:tc>
      </w:tr>
      <w:tr w:rsidR="00167F99" w:rsidRPr="001C277A" w14:paraId="3E38770C"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0356B67B" w14:textId="173BD357"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D9D9D9" w:themeFill="background1" w:themeFillShade="D9"/>
            <w:vAlign w:val="center"/>
          </w:tcPr>
          <w:p w14:paraId="30A34D20" w14:textId="6D276B1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D9D9D9" w:themeFill="background1" w:themeFillShade="D9"/>
            <w:vAlign w:val="center"/>
          </w:tcPr>
          <w:p w14:paraId="03D28032" w14:textId="1C457F2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D9D9D9" w:themeFill="background1" w:themeFillShade="D9"/>
            <w:vAlign w:val="center"/>
          </w:tcPr>
          <w:p w14:paraId="3D8CC127" w14:textId="312B841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D9D9D9" w:themeFill="background1" w:themeFillShade="D9"/>
            <w:vAlign w:val="center"/>
          </w:tcPr>
          <w:p w14:paraId="5BDAB77A" w14:textId="6D770B1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70BDBA01" w14:textId="0AF08B8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3995ADC7" w14:textId="492599B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4519B6F0" w14:textId="77777777" w:rsidTr="00CA5932">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575379C9" w14:textId="068BE477"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3874072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64476E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1B9189A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395AA56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65895E0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61E9100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bl>
    <w:p w14:paraId="5D9BBDAD" w14:textId="77777777" w:rsidR="00CA5932" w:rsidRPr="001C277A" w:rsidRDefault="00CA5932">
      <w:r w:rsidRPr="001C277A">
        <w:br w:type="page"/>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13"/>
        <w:gridCol w:w="913"/>
        <w:gridCol w:w="778"/>
        <w:gridCol w:w="1080"/>
        <w:gridCol w:w="1080"/>
        <w:gridCol w:w="792"/>
      </w:tblGrid>
      <w:tr w:rsidR="00CA5932" w:rsidRPr="001C277A" w14:paraId="24DBA5BD" w14:textId="77777777" w:rsidTr="00CA5932">
        <w:tc>
          <w:tcPr>
            <w:tcW w:w="3960" w:type="dxa"/>
            <w:tcBorders>
              <w:bottom w:val="nil"/>
            </w:tcBorders>
            <w:shd w:val="clear" w:color="auto" w:fill="FFFFFF"/>
            <w:vAlign w:val="center"/>
          </w:tcPr>
          <w:p w14:paraId="3AC88711"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lastRenderedPageBreak/>
              <w:t>Model Portfolio options</w:t>
            </w:r>
          </w:p>
        </w:tc>
        <w:tc>
          <w:tcPr>
            <w:tcW w:w="3684" w:type="dxa"/>
            <w:gridSpan w:val="4"/>
            <w:tcBorders>
              <w:bottom w:val="single" w:sz="4" w:space="0" w:color="auto"/>
            </w:tcBorders>
            <w:shd w:val="clear" w:color="auto" w:fill="FFFFFF"/>
            <w:vAlign w:val="center"/>
          </w:tcPr>
          <w:p w14:paraId="39F27343"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Average annual total return as of 3/31/2024</w:t>
            </w:r>
          </w:p>
        </w:tc>
        <w:tc>
          <w:tcPr>
            <w:tcW w:w="1872" w:type="dxa"/>
            <w:gridSpan w:val="2"/>
            <w:tcBorders>
              <w:bottom w:val="single" w:sz="4" w:space="0" w:color="auto"/>
            </w:tcBorders>
            <w:shd w:val="clear" w:color="auto" w:fill="FFFFFF"/>
            <w:vAlign w:val="center"/>
          </w:tcPr>
          <w:p w14:paraId="253CB43F"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Total Weighted Average Expense Ratio*</w:t>
            </w:r>
          </w:p>
        </w:tc>
      </w:tr>
      <w:tr w:rsidR="00CA5932" w:rsidRPr="001C277A" w14:paraId="50BEDFA9" w14:textId="77777777" w:rsidTr="00CA5932">
        <w:tc>
          <w:tcPr>
            <w:tcW w:w="3960" w:type="dxa"/>
            <w:tcBorders>
              <w:top w:val="nil"/>
              <w:bottom w:val="nil"/>
            </w:tcBorders>
            <w:shd w:val="clear" w:color="auto" w:fill="FFFFFF"/>
          </w:tcPr>
          <w:p w14:paraId="1971F6C4" w14:textId="77777777" w:rsidR="00CA5932" w:rsidRPr="001C277A" w:rsidRDefault="00CA5932" w:rsidP="00923B68">
            <w:pPr>
              <w:autoSpaceDE w:val="0"/>
              <w:autoSpaceDN w:val="0"/>
              <w:adjustRightInd w:val="0"/>
              <w:spacing w:after="0" w:line="240" w:lineRule="auto"/>
              <w:jc w:val="both"/>
              <w:rPr>
                <w:rFonts w:cs="Arial"/>
                <w:color w:val="000000"/>
                <w:sz w:val="20"/>
                <w:szCs w:val="20"/>
              </w:rPr>
            </w:pPr>
          </w:p>
        </w:tc>
        <w:tc>
          <w:tcPr>
            <w:tcW w:w="913" w:type="dxa"/>
            <w:shd w:val="clear" w:color="auto" w:fill="FFFFFF"/>
            <w:vAlign w:val="center"/>
          </w:tcPr>
          <w:p w14:paraId="44146C09"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1-yr.</w:t>
            </w:r>
          </w:p>
        </w:tc>
        <w:tc>
          <w:tcPr>
            <w:tcW w:w="913" w:type="dxa"/>
            <w:shd w:val="clear" w:color="auto" w:fill="FFFFFF"/>
            <w:vAlign w:val="center"/>
          </w:tcPr>
          <w:p w14:paraId="5E815CE6"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5-yr.</w:t>
            </w:r>
          </w:p>
        </w:tc>
        <w:tc>
          <w:tcPr>
            <w:tcW w:w="778" w:type="dxa"/>
            <w:shd w:val="clear" w:color="auto" w:fill="FFFFFF"/>
            <w:vAlign w:val="center"/>
          </w:tcPr>
          <w:p w14:paraId="23D5D646"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10-yr.</w:t>
            </w:r>
          </w:p>
        </w:tc>
        <w:tc>
          <w:tcPr>
            <w:tcW w:w="1080" w:type="dxa"/>
            <w:shd w:val="clear" w:color="auto" w:fill="FFFFFF"/>
            <w:vAlign w:val="center"/>
          </w:tcPr>
          <w:p w14:paraId="5D89F26D"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Since inception</w:t>
            </w:r>
          </w:p>
        </w:tc>
        <w:tc>
          <w:tcPr>
            <w:tcW w:w="1080" w:type="dxa"/>
            <w:shd w:val="clear" w:color="auto" w:fill="FFFFFF"/>
            <w:vAlign w:val="center"/>
          </w:tcPr>
          <w:p w14:paraId="102625E1"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As a %</w:t>
            </w:r>
          </w:p>
        </w:tc>
        <w:tc>
          <w:tcPr>
            <w:tcW w:w="792" w:type="dxa"/>
            <w:shd w:val="clear" w:color="auto" w:fill="FFFFFF"/>
            <w:vAlign w:val="center"/>
          </w:tcPr>
          <w:p w14:paraId="2287D9E5" w14:textId="77777777" w:rsidR="00CA5932" w:rsidRPr="001C277A" w:rsidRDefault="00CA5932" w:rsidP="00923B68">
            <w:pPr>
              <w:autoSpaceDE w:val="0"/>
              <w:autoSpaceDN w:val="0"/>
              <w:adjustRightInd w:val="0"/>
              <w:spacing w:after="0" w:line="240" w:lineRule="auto"/>
              <w:jc w:val="center"/>
              <w:rPr>
                <w:rFonts w:ascii="Arial Narrow" w:hAnsi="Arial Narrow" w:cs="Arial"/>
                <w:b/>
                <w:color w:val="000000"/>
                <w:sz w:val="18"/>
                <w:szCs w:val="20"/>
              </w:rPr>
            </w:pPr>
            <w:r w:rsidRPr="001C277A">
              <w:rPr>
                <w:rFonts w:ascii="Arial Narrow" w:hAnsi="Arial Narrow" w:cs="Arial"/>
                <w:b/>
                <w:color w:val="000000"/>
                <w:sz w:val="18"/>
                <w:szCs w:val="20"/>
              </w:rPr>
              <w:t>Per $1,000</w:t>
            </w:r>
          </w:p>
        </w:tc>
      </w:tr>
      <w:tr w:rsidR="00CA5932" w:rsidRPr="001C277A" w14:paraId="2DC77B0A" w14:textId="77777777" w:rsidTr="00CA5932">
        <w:trPr>
          <w:trHeight w:val="320"/>
        </w:trPr>
        <w:tc>
          <w:tcPr>
            <w:tcW w:w="3960" w:type="dxa"/>
            <w:tcBorders>
              <w:top w:val="nil"/>
              <w:bottom w:val="single" w:sz="4" w:space="0" w:color="auto"/>
            </w:tcBorders>
            <w:shd w:val="clear" w:color="auto" w:fill="000000"/>
            <w:vAlign w:val="center"/>
          </w:tcPr>
          <w:p w14:paraId="45973C72" w14:textId="3D6372C2"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r w:rsidRPr="001C277A">
              <w:rPr>
                <w:rFonts w:ascii="Arial Narrow" w:hAnsi="Arial Narrow" w:cs="Arial"/>
                <w:b/>
                <w:color w:val="FFFFFF"/>
                <w:sz w:val="18"/>
                <w:szCs w:val="20"/>
              </w:rPr>
              <w:t>Growth Portfolios</w:t>
            </w:r>
          </w:p>
        </w:tc>
        <w:tc>
          <w:tcPr>
            <w:tcW w:w="913" w:type="dxa"/>
            <w:tcBorders>
              <w:bottom w:val="single" w:sz="4" w:space="0" w:color="auto"/>
            </w:tcBorders>
            <w:shd w:val="clear" w:color="auto" w:fill="000000"/>
            <w:vAlign w:val="center"/>
          </w:tcPr>
          <w:p w14:paraId="55F6CA63"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913" w:type="dxa"/>
            <w:tcBorders>
              <w:bottom w:val="single" w:sz="4" w:space="0" w:color="auto"/>
            </w:tcBorders>
            <w:shd w:val="clear" w:color="auto" w:fill="000000"/>
            <w:vAlign w:val="center"/>
          </w:tcPr>
          <w:p w14:paraId="77BF2429"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778" w:type="dxa"/>
            <w:tcBorders>
              <w:bottom w:val="single" w:sz="4" w:space="0" w:color="auto"/>
            </w:tcBorders>
            <w:shd w:val="clear" w:color="auto" w:fill="000000"/>
            <w:vAlign w:val="center"/>
          </w:tcPr>
          <w:p w14:paraId="7ADB1DD2"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1080" w:type="dxa"/>
            <w:tcBorders>
              <w:bottom w:val="single" w:sz="4" w:space="0" w:color="auto"/>
            </w:tcBorders>
            <w:shd w:val="clear" w:color="auto" w:fill="000000"/>
            <w:vAlign w:val="center"/>
          </w:tcPr>
          <w:p w14:paraId="4313F4E7"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1080" w:type="dxa"/>
            <w:tcBorders>
              <w:bottom w:val="single" w:sz="4" w:space="0" w:color="auto"/>
            </w:tcBorders>
            <w:shd w:val="clear" w:color="auto" w:fill="000000"/>
            <w:vAlign w:val="center"/>
          </w:tcPr>
          <w:p w14:paraId="6FA7263F"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c>
          <w:tcPr>
            <w:tcW w:w="792" w:type="dxa"/>
            <w:tcBorders>
              <w:bottom w:val="single" w:sz="4" w:space="0" w:color="auto"/>
            </w:tcBorders>
            <w:shd w:val="clear" w:color="auto" w:fill="000000"/>
            <w:vAlign w:val="center"/>
          </w:tcPr>
          <w:p w14:paraId="7A73210A" w14:textId="77777777" w:rsidR="00CA5932" w:rsidRPr="001C277A" w:rsidRDefault="00CA5932" w:rsidP="00923B68">
            <w:pPr>
              <w:autoSpaceDE w:val="0"/>
              <w:autoSpaceDN w:val="0"/>
              <w:adjustRightInd w:val="0"/>
              <w:spacing w:after="0" w:line="240" w:lineRule="auto"/>
              <w:rPr>
                <w:rFonts w:ascii="Arial Narrow" w:hAnsi="Arial Narrow" w:cs="Arial"/>
                <w:b/>
                <w:color w:val="FFFFFF"/>
                <w:sz w:val="18"/>
                <w:szCs w:val="20"/>
              </w:rPr>
            </w:pPr>
          </w:p>
        </w:tc>
      </w:tr>
      <w:tr w:rsidR="00167F99" w:rsidRPr="001C277A" w14:paraId="5F96BE9A" w14:textId="77777777" w:rsidTr="00CA5932">
        <w:trPr>
          <w:trHeight w:hRule="exact" w:val="230"/>
        </w:trPr>
        <w:tc>
          <w:tcPr>
            <w:tcW w:w="3960" w:type="dxa"/>
            <w:tcBorders>
              <w:top w:val="single" w:sz="4" w:space="0" w:color="auto"/>
              <w:left w:val="nil"/>
              <w:bottom w:val="nil"/>
              <w:right w:val="nil"/>
            </w:tcBorders>
            <w:shd w:val="clear" w:color="auto" w:fill="auto"/>
            <w:vAlign w:val="center"/>
          </w:tcPr>
          <w:p w14:paraId="6B58ADEB" w14:textId="351AF2E3"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Income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4414F3CD" w14:textId="65E4B93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72D9DACF" w14:textId="12A3640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AAC2126" w14:textId="214044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288082A7" w14:textId="39811C5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6520FDF5" w14:textId="292A1F3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auto"/>
            <w:vAlign w:val="center"/>
          </w:tcPr>
          <w:p w14:paraId="3DBB902C" w14:textId="4FFC250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$1.47</w:t>
            </w:r>
          </w:p>
        </w:tc>
      </w:tr>
      <w:tr w:rsidR="00167F99" w:rsidRPr="001C277A" w14:paraId="396D84B5" w14:textId="77777777" w:rsidTr="00CA5932">
        <w:trPr>
          <w:trHeight w:hRule="exact" w:val="230"/>
        </w:trPr>
        <w:tc>
          <w:tcPr>
            <w:tcW w:w="3960" w:type="dxa"/>
            <w:tcBorders>
              <w:top w:val="nil"/>
              <w:left w:val="nil"/>
              <w:bottom w:val="nil"/>
              <w:right w:val="nil"/>
            </w:tcBorders>
            <w:shd w:val="clear" w:color="auto" w:fill="auto"/>
            <w:vAlign w:val="center"/>
          </w:tcPr>
          <w:p w14:paraId="09A5FAAA" w14:textId="3988DA90"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 xml:space="preserve">Morningstar Lifetime Mod </w:t>
            </w:r>
            <w:proofErr w:type="spellStart"/>
            <w:r w:rsidRPr="001C277A">
              <w:rPr>
                <w:rFonts w:ascii="Arial Narrow" w:hAnsi="Arial Narrow" w:cs="Arial"/>
                <w:sz w:val="18"/>
                <w:szCs w:val="20"/>
              </w:rPr>
              <w:t>Incm</w:t>
            </w:r>
            <w:proofErr w:type="spellEnd"/>
            <w:r w:rsidRPr="001C277A">
              <w:rPr>
                <w:rFonts w:ascii="Arial Narrow" w:hAnsi="Arial Narrow" w:cs="Arial"/>
                <w:sz w:val="18"/>
                <w:szCs w:val="20"/>
              </w:rPr>
              <w:t xml:space="preserve"> TR USD</w:t>
            </w:r>
          </w:p>
        </w:tc>
        <w:tc>
          <w:tcPr>
            <w:tcW w:w="913" w:type="dxa"/>
            <w:tcBorders>
              <w:top w:val="nil"/>
              <w:left w:val="nil"/>
              <w:bottom w:val="nil"/>
              <w:right w:val="nil"/>
            </w:tcBorders>
            <w:shd w:val="clear" w:color="auto" w:fill="auto"/>
            <w:vAlign w:val="center"/>
          </w:tcPr>
          <w:p w14:paraId="3F8E06CD" w14:textId="523592B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8.47%</w:t>
            </w:r>
          </w:p>
        </w:tc>
        <w:tc>
          <w:tcPr>
            <w:tcW w:w="913" w:type="dxa"/>
            <w:tcBorders>
              <w:top w:val="nil"/>
              <w:left w:val="nil"/>
              <w:bottom w:val="nil"/>
              <w:right w:val="nil"/>
            </w:tcBorders>
            <w:shd w:val="clear" w:color="auto" w:fill="auto"/>
            <w:vAlign w:val="center"/>
          </w:tcPr>
          <w:p w14:paraId="46A7C568" w14:textId="6C4B40F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auto"/>
            <w:vAlign w:val="center"/>
          </w:tcPr>
          <w:p w14:paraId="2D4D05F1" w14:textId="1E090C1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4.02%</w:t>
            </w:r>
          </w:p>
        </w:tc>
        <w:tc>
          <w:tcPr>
            <w:tcW w:w="1080" w:type="dxa"/>
            <w:tcBorders>
              <w:top w:val="nil"/>
              <w:left w:val="nil"/>
              <w:bottom w:val="nil"/>
              <w:right w:val="nil"/>
            </w:tcBorders>
            <w:shd w:val="clear" w:color="auto" w:fill="auto"/>
            <w:vAlign w:val="center"/>
          </w:tcPr>
          <w:p w14:paraId="7EE9BC3F" w14:textId="5C20C03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67E7CAF3" w14:textId="6F7AE83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4261B51A" w14:textId="592BE8A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8721852" w14:textId="77777777" w:rsidTr="00CA5932">
        <w:trPr>
          <w:trHeight w:hRule="exact" w:val="230"/>
        </w:trPr>
        <w:tc>
          <w:tcPr>
            <w:tcW w:w="3960" w:type="dxa"/>
            <w:tcBorders>
              <w:top w:val="nil"/>
              <w:left w:val="nil"/>
              <w:bottom w:val="single" w:sz="4" w:space="0" w:color="auto"/>
              <w:right w:val="nil"/>
            </w:tcBorders>
            <w:shd w:val="clear" w:color="auto" w:fill="auto"/>
            <w:vAlign w:val="center"/>
          </w:tcPr>
          <w:p w14:paraId="6ADBFF53" w14:textId="3C1BC048"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14DF101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4C77E17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2E129B0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1AD1555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6BC404F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59FF0BB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0F2DEFB" w14:textId="77777777" w:rsidTr="00CA5932">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5A651878" w14:textId="60612E54"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7368A0E9" w14:textId="0B3B42F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0FF20B60" w14:textId="7B85515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53AB17BF" w14:textId="448DDB8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5BAEB3A" w14:textId="112CC0E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EDEFF0A" w14:textId="7CF17AD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0.15%</w:t>
            </w:r>
          </w:p>
        </w:tc>
        <w:tc>
          <w:tcPr>
            <w:tcW w:w="792" w:type="dxa"/>
            <w:tcBorders>
              <w:top w:val="single" w:sz="4" w:space="0" w:color="auto"/>
              <w:left w:val="nil"/>
              <w:bottom w:val="nil"/>
              <w:right w:val="nil"/>
            </w:tcBorders>
            <w:shd w:val="clear" w:color="auto" w:fill="D9D9D9" w:themeFill="background1" w:themeFillShade="D9"/>
            <w:vAlign w:val="center"/>
          </w:tcPr>
          <w:p w14:paraId="5BEAFCD8" w14:textId="57018B6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$1.47</w:t>
            </w:r>
          </w:p>
        </w:tc>
      </w:tr>
      <w:tr w:rsidR="00167F99" w:rsidRPr="001C277A" w14:paraId="2CD6F698"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689DB2B5" w14:textId="4DBEFD8F"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2010 TR USD</w:t>
            </w:r>
          </w:p>
        </w:tc>
        <w:tc>
          <w:tcPr>
            <w:tcW w:w="913" w:type="dxa"/>
            <w:tcBorders>
              <w:top w:val="nil"/>
              <w:left w:val="nil"/>
              <w:bottom w:val="nil"/>
              <w:right w:val="nil"/>
            </w:tcBorders>
            <w:shd w:val="clear" w:color="auto" w:fill="D9D9D9" w:themeFill="background1" w:themeFillShade="D9"/>
            <w:vAlign w:val="center"/>
          </w:tcPr>
          <w:p w14:paraId="04DDB1E8" w14:textId="331236B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8.38%</w:t>
            </w:r>
          </w:p>
        </w:tc>
        <w:tc>
          <w:tcPr>
            <w:tcW w:w="913" w:type="dxa"/>
            <w:tcBorders>
              <w:top w:val="nil"/>
              <w:left w:val="nil"/>
              <w:bottom w:val="nil"/>
              <w:right w:val="nil"/>
            </w:tcBorders>
            <w:shd w:val="clear" w:color="auto" w:fill="D9D9D9" w:themeFill="background1" w:themeFillShade="D9"/>
            <w:vAlign w:val="center"/>
          </w:tcPr>
          <w:p w14:paraId="47FED730" w14:textId="5CC99CD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4.37%</w:t>
            </w:r>
          </w:p>
        </w:tc>
        <w:tc>
          <w:tcPr>
            <w:tcW w:w="778" w:type="dxa"/>
            <w:tcBorders>
              <w:top w:val="nil"/>
              <w:left w:val="nil"/>
              <w:bottom w:val="nil"/>
              <w:right w:val="nil"/>
            </w:tcBorders>
            <w:shd w:val="clear" w:color="auto" w:fill="D9D9D9" w:themeFill="background1" w:themeFillShade="D9"/>
            <w:vAlign w:val="center"/>
          </w:tcPr>
          <w:p w14:paraId="16923856" w14:textId="3D92AA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4.27%</w:t>
            </w:r>
          </w:p>
        </w:tc>
        <w:tc>
          <w:tcPr>
            <w:tcW w:w="1080" w:type="dxa"/>
            <w:tcBorders>
              <w:top w:val="nil"/>
              <w:left w:val="nil"/>
              <w:bottom w:val="nil"/>
              <w:right w:val="nil"/>
            </w:tcBorders>
            <w:shd w:val="clear" w:color="auto" w:fill="D9D9D9" w:themeFill="background1" w:themeFillShade="D9"/>
            <w:vAlign w:val="center"/>
          </w:tcPr>
          <w:p w14:paraId="0288044D" w14:textId="3EB0BF9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3719B545" w14:textId="1DB1DFC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704BF3DA" w14:textId="4BE21D9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596F2D04" w14:textId="77777777" w:rsidTr="00CA5932">
        <w:trPr>
          <w:trHeight w:hRule="exact" w:val="230"/>
        </w:trPr>
        <w:tc>
          <w:tcPr>
            <w:tcW w:w="3960" w:type="dxa"/>
            <w:tcBorders>
              <w:top w:val="nil"/>
              <w:left w:val="nil"/>
              <w:bottom w:val="nil"/>
              <w:right w:val="nil"/>
            </w:tcBorders>
            <w:shd w:val="clear" w:color="auto" w:fill="D9D9D9" w:themeFill="background1" w:themeFillShade="D9"/>
            <w:vAlign w:val="center"/>
          </w:tcPr>
          <w:p w14:paraId="1B7A5D6D" w14:textId="191EC57A"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nil"/>
              <w:right w:val="nil"/>
            </w:tcBorders>
            <w:shd w:val="clear" w:color="auto" w:fill="D9D9D9" w:themeFill="background1" w:themeFillShade="D9"/>
            <w:vAlign w:val="center"/>
          </w:tcPr>
          <w:p w14:paraId="405EE50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nil"/>
              <w:right w:val="nil"/>
            </w:tcBorders>
            <w:shd w:val="clear" w:color="auto" w:fill="D9D9D9" w:themeFill="background1" w:themeFillShade="D9"/>
            <w:vAlign w:val="center"/>
          </w:tcPr>
          <w:p w14:paraId="138533D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nil"/>
              <w:right w:val="nil"/>
            </w:tcBorders>
            <w:shd w:val="clear" w:color="auto" w:fill="D9D9D9" w:themeFill="background1" w:themeFillShade="D9"/>
            <w:vAlign w:val="center"/>
          </w:tcPr>
          <w:p w14:paraId="78232B2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D9D9D9" w:themeFill="background1" w:themeFillShade="D9"/>
            <w:vAlign w:val="center"/>
          </w:tcPr>
          <w:p w14:paraId="783A714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nil"/>
              <w:right w:val="nil"/>
            </w:tcBorders>
            <w:shd w:val="clear" w:color="auto" w:fill="D9D9D9" w:themeFill="background1" w:themeFillShade="D9"/>
            <w:vAlign w:val="center"/>
          </w:tcPr>
          <w:p w14:paraId="75184DA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nil"/>
              <w:right w:val="nil"/>
            </w:tcBorders>
            <w:shd w:val="clear" w:color="auto" w:fill="D9D9D9" w:themeFill="background1" w:themeFillShade="D9"/>
            <w:vAlign w:val="center"/>
          </w:tcPr>
          <w:p w14:paraId="406763D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7BE6FC6D"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06E2F2B3" w14:textId="676EDA88"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2015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4B857D17" w14:textId="22C28AC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5B1CC0CF" w14:textId="1C52689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791D9CCA" w14:textId="2083CF4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014D830" w14:textId="7BB305B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AB66502" w14:textId="1DEF4F8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auto"/>
            <w:vAlign w:val="center"/>
          </w:tcPr>
          <w:p w14:paraId="024DC0B8" w14:textId="00CA558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$1.42</w:t>
            </w:r>
          </w:p>
        </w:tc>
      </w:tr>
      <w:tr w:rsidR="00167F99" w:rsidRPr="001C277A" w14:paraId="33F56310" w14:textId="77777777" w:rsidTr="00167F99">
        <w:trPr>
          <w:trHeight w:hRule="exact" w:val="230"/>
        </w:trPr>
        <w:tc>
          <w:tcPr>
            <w:tcW w:w="3960" w:type="dxa"/>
            <w:tcBorders>
              <w:top w:val="nil"/>
              <w:left w:val="nil"/>
              <w:bottom w:val="nil"/>
              <w:right w:val="nil"/>
            </w:tcBorders>
            <w:shd w:val="clear" w:color="auto" w:fill="auto"/>
            <w:vAlign w:val="center"/>
          </w:tcPr>
          <w:p w14:paraId="6C3D2654" w14:textId="67E63527"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2015 TR USD</w:t>
            </w:r>
          </w:p>
        </w:tc>
        <w:tc>
          <w:tcPr>
            <w:tcW w:w="913" w:type="dxa"/>
            <w:tcBorders>
              <w:top w:val="nil"/>
              <w:left w:val="nil"/>
              <w:bottom w:val="nil"/>
              <w:right w:val="nil"/>
            </w:tcBorders>
            <w:shd w:val="clear" w:color="auto" w:fill="auto"/>
            <w:vAlign w:val="center"/>
          </w:tcPr>
          <w:p w14:paraId="00F45297" w14:textId="0591F8E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8.27%</w:t>
            </w:r>
          </w:p>
        </w:tc>
        <w:tc>
          <w:tcPr>
            <w:tcW w:w="913" w:type="dxa"/>
            <w:tcBorders>
              <w:top w:val="nil"/>
              <w:left w:val="nil"/>
              <w:bottom w:val="nil"/>
              <w:right w:val="nil"/>
            </w:tcBorders>
            <w:shd w:val="clear" w:color="auto" w:fill="auto"/>
            <w:vAlign w:val="center"/>
          </w:tcPr>
          <w:p w14:paraId="381117E3" w14:textId="4C077B2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4.36%</w:t>
            </w:r>
          </w:p>
        </w:tc>
        <w:tc>
          <w:tcPr>
            <w:tcW w:w="778" w:type="dxa"/>
            <w:tcBorders>
              <w:top w:val="nil"/>
              <w:left w:val="nil"/>
              <w:bottom w:val="nil"/>
              <w:right w:val="nil"/>
            </w:tcBorders>
            <w:shd w:val="clear" w:color="auto" w:fill="auto"/>
            <w:vAlign w:val="center"/>
          </w:tcPr>
          <w:p w14:paraId="02CE3FAE" w14:textId="560D80C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4.44%</w:t>
            </w:r>
          </w:p>
        </w:tc>
        <w:tc>
          <w:tcPr>
            <w:tcW w:w="1080" w:type="dxa"/>
            <w:tcBorders>
              <w:top w:val="nil"/>
              <w:left w:val="nil"/>
              <w:bottom w:val="nil"/>
              <w:right w:val="nil"/>
            </w:tcBorders>
            <w:shd w:val="clear" w:color="auto" w:fill="auto"/>
            <w:vAlign w:val="center"/>
          </w:tcPr>
          <w:p w14:paraId="3D6D977B" w14:textId="5F134AA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3059160A" w14:textId="0223F77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4AF4BA2" w14:textId="38DA0B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41D53ADE"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4984F9DA" w14:textId="2C403AD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0D720D3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6B71DBD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0A0B66F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27959C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4754D6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13265D4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5E7EBF41" w14:textId="77777777" w:rsidTr="00167F99">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0F27EB58" w14:textId="3F7C035E"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097C4AD7" w14:textId="139A166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004FD29B" w14:textId="195B0EF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114F3624" w14:textId="555907F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26DCAE8A" w14:textId="5394905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7B20B376" w14:textId="05711C4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D9D9D9" w:themeFill="background1" w:themeFillShade="D9"/>
            <w:vAlign w:val="center"/>
          </w:tcPr>
          <w:p w14:paraId="3091A549" w14:textId="5F560FF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$1.37</w:t>
            </w:r>
          </w:p>
        </w:tc>
      </w:tr>
      <w:tr w:rsidR="00167F99" w:rsidRPr="001C277A" w14:paraId="3C80D200" w14:textId="77777777" w:rsidTr="00167F99">
        <w:trPr>
          <w:trHeight w:hRule="exact" w:val="230"/>
        </w:trPr>
        <w:tc>
          <w:tcPr>
            <w:tcW w:w="3960" w:type="dxa"/>
            <w:tcBorders>
              <w:top w:val="nil"/>
              <w:left w:val="nil"/>
              <w:bottom w:val="nil"/>
              <w:right w:val="nil"/>
            </w:tcBorders>
            <w:shd w:val="clear" w:color="auto" w:fill="D9D9D9" w:themeFill="background1" w:themeFillShade="D9"/>
            <w:vAlign w:val="center"/>
          </w:tcPr>
          <w:p w14:paraId="57FF79DA" w14:textId="35051348"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2020 TR USD</w:t>
            </w:r>
          </w:p>
        </w:tc>
        <w:tc>
          <w:tcPr>
            <w:tcW w:w="913" w:type="dxa"/>
            <w:tcBorders>
              <w:top w:val="nil"/>
              <w:left w:val="nil"/>
              <w:bottom w:val="nil"/>
              <w:right w:val="nil"/>
            </w:tcBorders>
            <w:shd w:val="clear" w:color="auto" w:fill="D9D9D9" w:themeFill="background1" w:themeFillShade="D9"/>
            <w:vAlign w:val="center"/>
          </w:tcPr>
          <w:p w14:paraId="7EF275E9" w14:textId="1EC17D5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8.48%</w:t>
            </w:r>
          </w:p>
        </w:tc>
        <w:tc>
          <w:tcPr>
            <w:tcW w:w="913" w:type="dxa"/>
            <w:tcBorders>
              <w:top w:val="nil"/>
              <w:left w:val="nil"/>
              <w:bottom w:val="nil"/>
              <w:right w:val="nil"/>
            </w:tcBorders>
            <w:shd w:val="clear" w:color="auto" w:fill="D9D9D9" w:themeFill="background1" w:themeFillShade="D9"/>
            <w:vAlign w:val="center"/>
          </w:tcPr>
          <w:p w14:paraId="36A2640E" w14:textId="7FF301D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4.54%</w:t>
            </w:r>
          </w:p>
        </w:tc>
        <w:tc>
          <w:tcPr>
            <w:tcW w:w="778" w:type="dxa"/>
            <w:tcBorders>
              <w:top w:val="nil"/>
              <w:left w:val="nil"/>
              <w:bottom w:val="nil"/>
              <w:right w:val="nil"/>
            </w:tcBorders>
            <w:shd w:val="clear" w:color="auto" w:fill="D9D9D9" w:themeFill="background1" w:themeFillShade="D9"/>
            <w:vAlign w:val="center"/>
          </w:tcPr>
          <w:p w14:paraId="0EE54308" w14:textId="289AA9F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4.71%</w:t>
            </w:r>
          </w:p>
        </w:tc>
        <w:tc>
          <w:tcPr>
            <w:tcW w:w="1080" w:type="dxa"/>
            <w:tcBorders>
              <w:top w:val="nil"/>
              <w:left w:val="nil"/>
              <w:bottom w:val="nil"/>
              <w:right w:val="nil"/>
            </w:tcBorders>
            <w:shd w:val="clear" w:color="auto" w:fill="D9D9D9" w:themeFill="background1" w:themeFillShade="D9"/>
            <w:vAlign w:val="center"/>
          </w:tcPr>
          <w:p w14:paraId="0C494A7F" w14:textId="507825C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72BBB3A3" w14:textId="2C4D249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25E77BB0" w14:textId="2681C00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CB4B980" w14:textId="77777777" w:rsidTr="00167F99">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3E973936" w14:textId="2C3D406A"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4A7AAC4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F30DE1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70C4E33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4C4D53B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4D90E62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4ADA1DC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2AA01FC5"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1DB5F7BE" w14:textId="5BEF8C13"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2025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68EDFFDA" w14:textId="0FDDA7F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0D7D2CA5" w14:textId="4582951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16267B07" w14:textId="3D9F4B3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D4A8126" w14:textId="231509A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E498532" w14:textId="791FCD2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35878257" w14:textId="540EB65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w:t>
            </w:r>
          </w:p>
        </w:tc>
      </w:tr>
      <w:tr w:rsidR="00167F99" w:rsidRPr="001C277A" w14:paraId="2A169C9C" w14:textId="77777777" w:rsidTr="00167F99">
        <w:trPr>
          <w:trHeight w:hRule="exact" w:val="230"/>
        </w:trPr>
        <w:tc>
          <w:tcPr>
            <w:tcW w:w="3960" w:type="dxa"/>
            <w:tcBorders>
              <w:top w:val="nil"/>
              <w:left w:val="nil"/>
              <w:bottom w:val="nil"/>
              <w:right w:val="nil"/>
            </w:tcBorders>
            <w:shd w:val="clear" w:color="auto" w:fill="auto"/>
            <w:vAlign w:val="center"/>
          </w:tcPr>
          <w:p w14:paraId="3EF4CD91" w14:textId="4082D41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2025 TR USD</w:t>
            </w:r>
          </w:p>
        </w:tc>
        <w:tc>
          <w:tcPr>
            <w:tcW w:w="913" w:type="dxa"/>
            <w:tcBorders>
              <w:top w:val="nil"/>
              <w:left w:val="nil"/>
              <w:bottom w:val="nil"/>
              <w:right w:val="nil"/>
            </w:tcBorders>
            <w:shd w:val="clear" w:color="auto" w:fill="auto"/>
            <w:vAlign w:val="center"/>
          </w:tcPr>
          <w:p w14:paraId="507F0EB7" w14:textId="760EE11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9.03%</w:t>
            </w:r>
          </w:p>
        </w:tc>
        <w:tc>
          <w:tcPr>
            <w:tcW w:w="913" w:type="dxa"/>
            <w:tcBorders>
              <w:top w:val="nil"/>
              <w:left w:val="nil"/>
              <w:bottom w:val="nil"/>
              <w:right w:val="nil"/>
            </w:tcBorders>
            <w:shd w:val="clear" w:color="auto" w:fill="auto"/>
            <w:vAlign w:val="center"/>
          </w:tcPr>
          <w:p w14:paraId="3564508F" w14:textId="33DD7FA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4.93%</w:t>
            </w:r>
          </w:p>
        </w:tc>
        <w:tc>
          <w:tcPr>
            <w:tcW w:w="778" w:type="dxa"/>
            <w:tcBorders>
              <w:top w:val="nil"/>
              <w:left w:val="nil"/>
              <w:bottom w:val="nil"/>
              <w:right w:val="nil"/>
            </w:tcBorders>
            <w:shd w:val="clear" w:color="auto" w:fill="auto"/>
            <w:vAlign w:val="center"/>
          </w:tcPr>
          <w:p w14:paraId="64733BC3" w14:textId="5376025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5.12%</w:t>
            </w:r>
          </w:p>
        </w:tc>
        <w:tc>
          <w:tcPr>
            <w:tcW w:w="1080" w:type="dxa"/>
            <w:tcBorders>
              <w:top w:val="nil"/>
              <w:left w:val="nil"/>
              <w:bottom w:val="nil"/>
              <w:right w:val="nil"/>
            </w:tcBorders>
            <w:shd w:val="clear" w:color="auto" w:fill="auto"/>
            <w:vAlign w:val="center"/>
          </w:tcPr>
          <w:p w14:paraId="33C8A26C" w14:textId="71451FB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330BE95E" w14:textId="03DFAF3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B0496B5" w14:textId="3750A55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5E42D827"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4F1877F1" w14:textId="456B3B9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78BE43E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364099B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756BBC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56FA70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27668AA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23E333B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40F41B66" w14:textId="77777777" w:rsidTr="00167F99">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26213C10" w14:textId="6FCBFE2E"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640A0B93" w14:textId="7FE31AA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706AF777" w14:textId="468260E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52A4941A" w14:textId="12CBFE2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ED29DAA" w14:textId="36E199D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0F72BAB" w14:textId="07D6F8F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65531FB4" w14:textId="5D19CFE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$1.29</w:t>
            </w:r>
          </w:p>
        </w:tc>
      </w:tr>
      <w:tr w:rsidR="00167F99" w:rsidRPr="001C277A" w14:paraId="40B8409B" w14:textId="77777777" w:rsidTr="00167F99">
        <w:trPr>
          <w:trHeight w:hRule="exact" w:val="230"/>
        </w:trPr>
        <w:tc>
          <w:tcPr>
            <w:tcW w:w="3960" w:type="dxa"/>
            <w:tcBorders>
              <w:top w:val="nil"/>
              <w:left w:val="nil"/>
              <w:bottom w:val="nil"/>
              <w:right w:val="nil"/>
            </w:tcBorders>
            <w:shd w:val="clear" w:color="auto" w:fill="D9D9D9" w:themeFill="background1" w:themeFillShade="D9"/>
            <w:vAlign w:val="center"/>
          </w:tcPr>
          <w:p w14:paraId="186CB84F" w14:textId="77934A68"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2030 TR USD</w:t>
            </w:r>
          </w:p>
        </w:tc>
        <w:tc>
          <w:tcPr>
            <w:tcW w:w="913" w:type="dxa"/>
            <w:tcBorders>
              <w:top w:val="nil"/>
              <w:left w:val="nil"/>
              <w:bottom w:val="nil"/>
              <w:right w:val="nil"/>
            </w:tcBorders>
            <w:shd w:val="clear" w:color="auto" w:fill="D9D9D9" w:themeFill="background1" w:themeFillShade="D9"/>
            <w:vAlign w:val="center"/>
          </w:tcPr>
          <w:p w14:paraId="1DE76CBE" w14:textId="689A63C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10.04%</w:t>
            </w:r>
          </w:p>
        </w:tc>
        <w:tc>
          <w:tcPr>
            <w:tcW w:w="913" w:type="dxa"/>
            <w:tcBorders>
              <w:top w:val="nil"/>
              <w:left w:val="nil"/>
              <w:bottom w:val="nil"/>
              <w:right w:val="nil"/>
            </w:tcBorders>
            <w:shd w:val="clear" w:color="auto" w:fill="D9D9D9" w:themeFill="background1" w:themeFillShade="D9"/>
            <w:vAlign w:val="center"/>
          </w:tcPr>
          <w:p w14:paraId="524377C9" w14:textId="05F1B33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5.62%</w:t>
            </w:r>
          </w:p>
        </w:tc>
        <w:tc>
          <w:tcPr>
            <w:tcW w:w="778" w:type="dxa"/>
            <w:tcBorders>
              <w:top w:val="nil"/>
              <w:left w:val="nil"/>
              <w:bottom w:val="nil"/>
              <w:right w:val="nil"/>
            </w:tcBorders>
            <w:shd w:val="clear" w:color="auto" w:fill="D9D9D9" w:themeFill="background1" w:themeFillShade="D9"/>
            <w:vAlign w:val="center"/>
          </w:tcPr>
          <w:p w14:paraId="01572DCB" w14:textId="2474FF2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5.69%</w:t>
            </w:r>
          </w:p>
        </w:tc>
        <w:tc>
          <w:tcPr>
            <w:tcW w:w="1080" w:type="dxa"/>
            <w:tcBorders>
              <w:top w:val="nil"/>
              <w:left w:val="nil"/>
              <w:bottom w:val="nil"/>
              <w:right w:val="nil"/>
            </w:tcBorders>
            <w:shd w:val="clear" w:color="auto" w:fill="D9D9D9" w:themeFill="background1" w:themeFillShade="D9"/>
            <w:vAlign w:val="center"/>
          </w:tcPr>
          <w:p w14:paraId="08847B13" w14:textId="376C46A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5D722F77" w14:textId="4FDFD20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0093C9FB" w14:textId="58885FE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5A5D89EC" w14:textId="77777777" w:rsidTr="00167F99">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40B71600" w14:textId="51811932"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4AD3D6B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3BE106B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42CB8B5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5ACB7C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1E1267B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4320BF7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78F436AD"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09413A63" w14:textId="4BE29371"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2035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266993E0" w14:textId="4E3F34F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3B5ABCC9" w14:textId="69E086B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23093EA4" w14:textId="659C9B7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34B4E854" w14:textId="440498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1B41B4B0" w14:textId="7F6858E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42BD7311" w14:textId="612880B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$1.29</w:t>
            </w:r>
          </w:p>
        </w:tc>
      </w:tr>
      <w:tr w:rsidR="00167F99" w:rsidRPr="001C277A" w14:paraId="18A30286" w14:textId="77777777" w:rsidTr="00167F99">
        <w:trPr>
          <w:trHeight w:hRule="exact" w:val="230"/>
        </w:trPr>
        <w:tc>
          <w:tcPr>
            <w:tcW w:w="3960" w:type="dxa"/>
            <w:tcBorders>
              <w:top w:val="nil"/>
              <w:left w:val="nil"/>
              <w:bottom w:val="nil"/>
              <w:right w:val="nil"/>
            </w:tcBorders>
            <w:shd w:val="clear" w:color="auto" w:fill="auto"/>
            <w:vAlign w:val="center"/>
          </w:tcPr>
          <w:p w14:paraId="6EAF38D7" w14:textId="40A4A09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2035 TR USD</w:t>
            </w:r>
          </w:p>
        </w:tc>
        <w:tc>
          <w:tcPr>
            <w:tcW w:w="913" w:type="dxa"/>
            <w:tcBorders>
              <w:top w:val="nil"/>
              <w:left w:val="nil"/>
              <w:bottom w:val="nil"/>
              <w:right w:val="nil"/>
            </w:tcBorders>
            <w:shd w:val="clear" w:color="auto" w:fill="auto"/>
            <w:vAlign w:val="center"/>
          </w:tcPr>
          <w:p w14:paraId="532489CA" w14:textId="06B115B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11.60%</w:t>
            </w:r>
          </w:p>
        </w:tc>
        <w:tc>
          <w:tcPr>
            <w:tcW w:w="913" w:type="dxa"/>
            <w:tcBorders>
              <w:top w:val="nil"/>
              <w:left w:val="nil"/>
              <w:bottom w:val="nil"/>
              <w:right w:val="nil"/>
            </w:tcBorders>
            <w:shd w:val="clear" w:color="auto" w:fill="auto"/>
            <w:vAlign w:val="center"/>
          </w:tcPr>
          <w:p w14:paraId="3BC6E39F" w14:textId="529A35E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6.58%</w:t>
            </w:r>
          </w:p>
        </w:tc>
        <w:tc>
          <w:tcPr>
            <w:tcW w:w="778" w:type="dxa"/>
            <w:tcBorders>
              <w:top w:val="nil"/>
              <w:left w:val="nil"/>
              <w:bottom w:val="nil"/>
              <w:right w:val="nil"/>
            </w:tcBorders>
            <w:shd w:val="clear" w:color="auto" w:fill="auto"/>
            <w:vAlign w:val="center"/>
          </w:tcPr>
          <w:p w14:paraId="5817316A" w14:textId="011238B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6.34%</w:t>
            </w:r>
          </w:p>
        </w:tc>
        <w:tc>
          <w:tcPr>
            <w:tcW w:w="1080" w:type="dxa"/>
            <w:tcBorders>
              <w:top w:val="nil"/>
              <w:left w:val="nil"/>
              <w:bottom w:val="nil"/>
              <w:right w:val="nil"/>
            </w:tcBorders>
            <w:shd w:val="clear" w:color="auto" w:fill="auto"/>
            <w:vAlign w:val="center"/>
          </w:tcPr>
          <w:p w14:paraId="0CCF8382" w14:textId="3316392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0FF4B718" w14:textId="769BF00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3A20D548" w14:textId="5755085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FFD90BC"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0C328559" w14:textId="2DA655FD"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09324CE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69BBE0E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67B0BCB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24573E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D7D401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090F6E0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16042E94" w14:textId="77777777" w:rsidTr="00167F99">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7AC5ACFD" w14:textId="397BB42A"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0C8A528F" w14:textId="59BB854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318DFA1D" w14:textId="09F4BC5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2EC0ECEC" w14:textId="0CEA8E1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3A4DF107" w14:textId="1D5976C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5B246478" w14:textId="0C2D634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1E2F4203" w14:textId="4446E8E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$1.28</w:t>
            </w:r>
          </w:p>
        </w:tc>
      </w:tr>
      <w:tr w:rsidR="00167F99" w:rsidRPr="001C277A" w14:paraId="1228BCF0" w14:textId="77777777" w:rsidTr="00167F99">
        <w:trPr>
          <w:trHeight w:hRule="exact" w:val="230"/>
        </w:trPr>
        <w:tc>
          <w:tcPr>
            <w:tcW w:w="3960" w:type="dxa"/>
            <w:tcBorders>
              <w:top w:val="nil"/>
              <w:left w:val="nil"/>
              <w:bottom w:val="nil"/>
              <w:right w:val="nil"/>
            </w:tcBorders>
            <w:shd w:val="clear" w:color="auto" w:fill="D9D9D9" w:themeFill="background1" w:themeFillShade="D9"/>
            <w:vAlign w:val="center"/>
          </w:tcPr>
          <w:p w14:paraId="64F2A17B" w14:textId="3FE4FD42"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2040 TR USD</w:t>
            </w:r>
          </w:p>
        </w:tc>
        <w:tc>
          <w:tcPr>
            <w:tcW w:w="913" w:type="dxa"/>
            <w:tcBorders>
              <w:top w:val="nil"/>
              <w:left w:val="nil"/>
              <w:bottom w:val="nil"/>
              <w:right w:val="nil"/>
            </w:tcBorders>
            <w:shd w:val="clear" w:color="auto" w:fill="D9D9D9" w:themeFill="background1" w:themeFillShade="D9"/>
            <w:vAlign w:val="center"/>
          </w:tcPr>
          <w:p w14:paraId="4B29E9B6" w14:textId="4ED4AC6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13.32%</w:t>
            </w:r>
          </w:p>
        </w:tc>
        <w:tc>
          <w:tcPr>
            <w:tcW w:w="913" w:type="dxa"/>
            <w:tcBorders>
              <w:top w:val="nil"/>
              <w:left w:val="nil"/>
              <w:bottom w:val="nil"/>
              <w:right w:val="nil"/>
            </w:tcBorders>
            <w:shd w:val="clear" w:color="auto" w:fill="D9D9D9" w:themeFill="background1" w:themeFillShade="D9"/>
            <w:vAlign w:val="center"/>
          </w:tcPr>
          <w:p w14:paraId="21F7D8E4" w14:textId="4FE74FF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7.54%</w:t>
            </w:r>
          </w:p>
        </w:tc>
        <w:tc>
          <w:tcPr>
            <w:tcW w:w="778" w:type="dxa"/>
            <w:tcBorders>
              <w:top w:val="nil"/>
              <w:left w:val="nil"/>
              <w:bottom w:val="nil"/>
              <w:right w:val="nil"/>
            </w:tcBorders>
            <w:shd w:val="clear" w:color="auto" w:fill="D9D9D9" w:themeFill="background1" w:themeFillShade="D9"/>
            <w:vAlign w:val="center"/>
          </w:tcPr>
          <w:p w14:paraId="3C485A47" w14:textId="77F2F74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6.90%</w:t>
            </w:r>
          </w:p>
        </w:tc>
        <w:tc>
          <w:tcPr>
            <w:tcW w:w="1080" w:type="dxa"/>
            <w:tcBorders>
              <w:top w:val="nil"/>
              <w:left w:val="nil"/>
              <w:bottom w:val="nil"/>
              <w:right w:val="nil"/>
            </w:tcBorders>
            <w:shd w:val="clear" w:color="auto" w:fill="D9D9D9" w:themeFill="background1" w:themeFillShade="D9"/>
            <w:vAlign w:val="center"/>
          </w:tcPr>
          <w:p w14:paraId="3EBC1927" w14:textId="3F04CB5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511DD252" w14:textId="35F88D3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001A75E0" w14:textId="1B4E1F9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68A0847" w14:textId="77777777" w:rsidTr="00167F99">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35B5DEB1" w14:textId="186C646B"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1D2CF9C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61771A1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3130B32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3456C8D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0063FE3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171BF4C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CD4506E"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5A27B452" w14:textId="481E4402"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2045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403DA380" w14:textId="4C23D57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17B64D0E" w14:textId="15C1472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47B6C69C" w14:textId="32D3152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49EE352C" w14:textId="66DF7AA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27AC568" w14:textId="2670E0F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4AF3FA40" w14:textId="5374039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$1.31</w:t>
            </w:r>
          </w:p>
        </w:tc>
      </w:tr>
      <w:tr w:rsidR="00167F99" w:rsidRPr="001C277A" w14:paraId="29AC855B" w14:textId="77777777" w:rsidTr="00167F99">
        <w:trPr>
          <w:trHeight w:hRule="exact" w:val="230"/>
        </w:trPr>
        <w:tc>
          <w:tcPr>
            <w:tcW w:w="3960" w:type="dxa"/>
            <w:tcBorders>
              <w:top w:val="nil"/>
              <w:left w:val="nil"/>
              <w:bottom w:val="nil"/>
              <w:right w:val="nil"/>
            </w:tcBorders>
            <w:shd w:val="clear" w:color="auto" w:fill="auto"/>
            <w:vAlign w:val="center"/>
          </w:tcPr>
          <w:p w14:paraId="425228E8" w14:textId="5A84AEF3"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2045 TR USD</w:t>
            </w:r>
          </w:p>
        </w:tc>
        <w:tc>
          <w:tcPr>
            <w:tcW w:w="913" w:type="dxa"/>
            <w:tcBorders>
              <w:top w:val="nil"/>
              <w:left w:val="nil"/>
              <w:bottom w:val="nil"/>
              <w:right w:val="nil"/>
            </w:tcBorders>
            <w:shd w:val="clear" w:color="auto" w:fill="auto"/>
            <w:vAlign w:val="center"/>
          </w:tcPr>
          <w:p w14:paraId="64F82FDC" w14:textId="2F3897A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14.61%</w:t>
            </w:r>
          </w:p>
        </w:tc>
        <w:tc>
          <w:tcPr>
            <w:tcW w:w="913" w:type="dxa"/>
            <w:tcBorders>
              <w:top w:val="nil"/>
              <w:left w:val="nil"/>
              <w:bottom w:val="nil"/>
              <w:right w:val="nil"/>
            </w:tcBorders>
            <w:shd w:val="clear" w:color="auto" w:fill="auto"/>
            <w:vAlign w:val="center"/>
          </w:tcPr>
          <w:p w14:paraId="2050F420" w14:textId="291E2F9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8.19%</w:t>
            </w:r>
          </w:p>
        </w:tc>
        <w:tc>
          <w:tcPr>
            <w:tcW w:w="778" w:type="dxa"/>
            <w:tcBorders>
              <w:top w:val="nil"/>
              <w:left w:val="nil"/>
              <w:bottom w:val="nil"/>
              <w:right w:val="nil"/>
            </w:tcBorders>
            <w:shd w:val="clear" w:color="auto" w:fill="auto"/>
            <w:vAlign w:val="center"/>
          </w:tcPr>
          <w:p w14:paraId="5CB22400" w14:textId="06158D5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7.22%</w:t>
            </w:r>
          </w:p>
        </w:tc>
        <w:tc>
          <w:tcPr>
            <w:tcW w:w="1080" w:type="dxa"/>
            <w:tcBorders>
              <w:top w:val="nil"/>
              <w:left w:val="nil"/>
              <w:bottom w:val="nil"/>
              <w:right w:val="nil"/>
            </w:tcBorders>
            <w:shd w:val="clear" w:color="auto" w:fill="auto"/>
            <w:vAlign w:val="center"/>
          </w:tcPr>
          <w:p w14:paraId="391BEC91" w14:textId="03DC7E1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7F4F44F9" w14:textId="3CDD8A9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1F15FD8B" w14:textId="1A1A03E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4901AD75"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480B022C" w14:textId="60683858"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695F24A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020D1BB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4BEE070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0590DB4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21384E8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0829DCA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0057E261" w14:textId="77777777" w:rsidTr="00167F99">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7CBE6EDA" w14:textId="46944EC6"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30AF9BB4" w14:textId="429EC9D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5BF521A1" w14:textId="60B2F38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66180423" w14:textId="4C3596D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4263AD13" w14:textId="3EE8F8F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04F37D22" w14:textId="0AA5134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0C1442EB" w14:textId="79E1269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$1.32</w:t>
            </w:r>
          </w:p>
        </w:tc>
      </w:tr>
      <w:tr w:rsidR="00167F99" w:rsidRPr="001C277A" w14:paraId="6922840D" w14:textId="77777777" w:rsidTr="00167F99">
        <w:trPr>
          <w:trHeight w:hRule="exact" w:val="230"/>
        </w:trPr>
        <w:tc>
          <w:tcPr>
            <w:tcW w:w="3960" w:type="dxa"/>
            <w:tcBorders>
              <w:top w:val="nil"/>
              <w:left w:val="nil"/>
              <w:bottom w:val="nil"/>
              <w:right w:val="nil"/>
            </w:tcBorders>
            <w:shd w:val="clear" w:color="auto" w:fill="D9D9D9" w:themeFill="background1" w:themeFillShade="D9"/>
            <w:vAlign w:val="center"/>
          </w:tcPr>
          <w:p w14:paraId="7A3C2C43" w14:textId="6C30C3DB"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2050 TR USD</w:t>
            </w:r>
          </w:p>
        </w:tc>
        <w:tc>
          <w:tcPr>
            <w:tcW w:w="913" w:type="dxa"/>
            <w:tcBorders>
              <w:top w:val="nil"/>
              <w:left w:val="nil"/>
              <w:bottom w:val="nil"/>
              <w:right w:val="nil"/>
            </w:tcBorders>
            <w:shd w:val="clear" w:color="auto" w:fill="D9D9D9" w:themeFill="background1" w:themeFillShade="D9"/>
            <w:vAlign w:val="center"/>
          </w:tcPr>
          <w:p w14:paraId="717AEE43" w14:textId="25D6A04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15.19%</w:t>
            </w:r>
          </w:p>
        </w:tc>
        <w:tc>
          <w:tcPr>
            <w:tcW w:w="913" w:type="dxa"/>
            <w:tcBorders>
              <w:top w:val="nil"/>
              <w:left w:val="nil"/>
              <w:bottom w:val="nil"/>
              <w:right w:val="nil"/>
            </w:tcBorders>
            <w:shd w:val="clear" w:color="auto" w:fill="D9D9D9" w:themeFill="background1" w:themeFillShade="D9"/>
            <w:vAlign w:val="center"/>
          </w:tcPr>
          <w:p w14:paraId="14137E26" w14:textId="35D0414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8.43%</w:t>
            </w:r>
          </w:p>
        </w:tc>
        <w:tc>
          <w:tcPr>
            <w:tcW w:w="778" w:type="dxa"/>
            <w:tcBorders>
              <w:top w:val="nil"/>
              <w:left w:val="nil"/>
              <w:bottom w:val="nil"/>
              <w:right w:val="nil"/>
            </w:tcBorders>
            <w:shd w:val="clear" w:color="auto" w:fill="D9D9D9" w:themeFill="background1" w:themeFillShade="D9"/>
            <w:vAlign w:val="center"/>
          </w:tcPr>
          <w:p w14:paraId="4ADB2A62" w14:textId="1165071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7.30%</w:t>
            </w:r>
          </w:p>
        </w:tc>
        <w:tc>
          <w:tcPr>
            <w:tcW w:w="1080" w:type="dxa"/>
            <w:tcBorders>
              <w:top w:val="nil"/>
              <w:left w:val="nil"/>
              <w:bottom w:val="nil"/>
              <w:right w:val="nil"/>
            </w:tcBorders>
            <w:shd w:val="clear" w:color="auto" w:fill="D9D9D9" w:themeFill="background1" w:themeFillShade="D9"/>
            <w:vAlign w:val="center"/>
          </w:tcPr>
          <w:p w14:paraId="54F5BC61" w14:textId="6BCD4C4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7248B9B7" w14:textId="3DF41A9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6B099192" w14:textId="58AD8BD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0BB1E5A8" w14:textId="77777777" w:rsidTr="00167F99">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1872BB2A" w14:textId="42C420A5"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0482F0B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2E5A11C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50698D1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7C57486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3B80AFF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52EA906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242A60AA"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369DADA8" w14:textId="08CB2F38"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2055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5A1BD814" w14:textId="75DF1DD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793D4D21" w14:textId="0B87D26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3FC4F156" w14:textId="749F71D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16B3DF2" w14:textId="23DF1654"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0A342E41" w14:textId="40686A7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auto"/>
            <w:vAlign w:val="center"/>
          </w:tcPr>
          <w:p w14:paraId="0EDF3614" w14:textId="00C8F17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$1.33</w:t>
            </w:r>
          </w:p>
        </w:tc>
      </w:tr>
      <w:tr w:rsidR="00167F99" w:rsidRPr="001C277A" w14:paraId="4C4E7CF9" w14:textId="77777777" w:rsidTr="00167F99">
        <w:trPr>
          <w:trHeight w:hRule="exact" w:val="230"/>
        </w:trPr>
        <w:tc>
          <w:tcPr>
            <w:tcW w:w="3960" w:type="dxa"/>
            <w:tcBorders>
              <w:top w:val="nil"/>
              <w:left w:val="nil"/>
              <w:bottom w:val="nil"/>
              <w:right w:val="nil"/>
            </w:tcBorders>
            <w:shd w:val="clear" w:color="auto" w:fill="auto"/>
            <w:vAlign w:val="center"/>
          </w:tcPr>
          <w:p w14:paraId="6443B312" w14:textId="7A1D335F"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2055 TR USD</w:t>
            </w:r>
          </w:p>
        </w:tc>
        <w:tc>
          <w:tcPr>
            <w:tcW w:w="913" w:type="dxa"/>
            <w:tcBorders>
              <w:top w:val="nil"/>
              <w:left w:val="nil"/>
              <w:bottom w:val="nil"/>
              <w:right w:val="nil"/>
            </w:tcBorders>
            <w:shd w:val="clear" w:color="auto" w:fill="auto"/>
            <w:vAlign w:val="center"/>
          </w:tcPr>
          <w:p w14:paraId="1439B28D" w14:textId="4D48B85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15.23%</w:t>
            </w:r>
          </w:p>
        </w:tc>
        <w:tc>
          <w:tcPr>
            <w:tcW w:w="913" w:type="dxa"/>
            <w:tcBorders>
              <w:top w:val="nil"/>
              <w:left w:val="nil"/>
              <w:bottom w:val="nil"/>
              <w:right w:val="nil"/>
            </w:tcBorders>
            <w:shd w:val="clear" w:color="auto" w:fill="auto"/>
            <w:vAlign w:val="center"/>
          </w:tcPr>
          <w:p w14:paraId="04838C1D" w14:textId="79D428E2"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8.41%</w:t>
            </w:r>
          </w:p>
        </w:tc>
        <w:tc>
          <w:tcPr>
            <w:tcW w:w="778" w:type="dxa"/>
            <w:tcBorders>
              <w:top w:val="nil"/>
              <w:left w:val="nil"/>
              <w:bottom w:val="nil"/>
              <w:right w:val="nil"/>
            </w:tcBorders>
            <w:shd w:val="clear" w:color="auto" w:fill="auto"/>
            <w:vAlign w:val="center"/>
          </w:tcPr>
          <w:p w14:paraId="45A2F38D" w14:textId="5B31530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7.24%</w:t>
            </w:r>
          </w:p>
        </w:tc>
        <w:tc>
          <w:tcPr>
            <w:tcW w:w="1080" w:type="dxa"/>
            <w:tcBorders>
              <w:top w:val="nil"/>
              <w:left w:val="nil"/>
              <w:bottom w:val="nil"/>
              <w:right w:val="nil"/>
            </w:tcBorders>
            <w:shd w:val="clear" w:color="auto" w:fill="auto"/>
            <w:vAlign w:val="center"/>
          </w:tcPr>
          <w:p w14:paraId="176638D9" w14:textId="0E4BD16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479FA164" w14:textId="0DACE7F6"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51FF5AE2" w14:textId="3D4B7AC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0715F50B"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0C05561A" w14:textId="70665E8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43C4DE7D"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7298405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55E94F2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728D72D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77B716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15B976F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33299FED" w14:textId="77777777" w:rsidTr="00167F99">
        <w:trPr>
          <w:trHeight w:hRule="exact" w:val="230"/>
        </w:trPr>
        <w:tc>
          <w:tcPr>
            <w:tcW w:w="3960" w:type="dxa"/>
            <w:tcBorders>
              <w:top w:val="single" w:sz="4" w:space="0" w:color="auto"/>
              <w:left w:val="nil"/>
              <w:bottom w:val="nil"/>
              <w:right w:val="nil"/>
            </w:tcBorders>
            <w:shd w:val="clear" w:color="auto" w:fill="D9D9D9" w:themeFill="background1" w:themeFillShade="D9"/>
            <w:vAlign w:val="center"/>
          </w:tcPr>
          <w:p w14:paraId="3CB58BCF" w14:textId="5EE911A6"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2060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D9D9D9" w:themeFill="background1" w:themeFillShade="D9"/>
            <w:vAlign w:val="center"/>
          </w:tcPr>
          <w:p w14:paraId="1BC152CD" w14:textId="2E57033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D9D9D9" w:themeFill="background1" w:themeFillShade="D9"/>
            <w:vAlign w:val="center"/>
          </w:tcPr>
          <w:p w14:paraId="62924AB4" w14:textId="5B24379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D9D9D9" w:themeFill="background1" w:themeFillShade="D9"/>
            <w:vAlign w:val="center"/>
          </w:tcPr>
          <w:p w14:paraId="2148B921" w14:textId="177676E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7DF2E361" w14:textId="36BD235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D9D9D9" w:themeFill="background1" w:themeFillShade="D9"/>
            <w:vAlign w:val="center"/>
          </w:tcPr>
          <w:p w14:paraId="6A09E983" w14:textId="1102624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0.13%</w:t>
            </w:r>
          </w:p>
        </w:tc>
        <w:tc>
          <w:tcPr>
            <w:tcW w:w="792" w:type="dxa"/>
            <w:tcBorders>
              <w:top w:val="single" w:sz="4" w:space="0" w:color="auto"/>
              <w:left w:val="nil"/>
              <w:bottom w:val="nil"/>
              <w:right w:val="nil"/>
            </w:tcBorders>
            <w:shd w:val="clear" w:color="auto" w:fill="D9D9D9" w:themeFill="background1" w:themeFillShade="D9"/>
            <w:vAlign w:val="center"/>
          </w:tcPr>
          <w:p w14:paraId="19502860" w14:textId="2381202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$1.34</w:t>
            </w:r>
          </w:p>
        </w:tc>
      </w:tr>
      <w:tr w:rsidR="00167F99" w:rsidRPr="001C277A" w14:paraId="11D027F2" w14:textId="77777777" w:rsidTr="00167F99">
        <w:trPr>
          <w:trHeight w:hRule="exact" w:val="230"/>
        </w:trPr>
        <w:tc>
          <w:tcPr>
            <w:tcW w:w="3960" w:type="dxa"/>
            <w:tcBorders>
              <w:top w:val="nil"/>
              <w:left w:val="nil"/>
              <w:bottom w:val="nil"/>
              <w:right w:val="nil"/>
            </w:tcBorders>
            <w:shd w:val="clear" w:color="auto" w:fill="D9D9D9" w:themeFill="background1" w:themeFillShade="D9"/>
            <w:vAlign w:val="center"/>
          </w:tcPr>
          <w:p w14:paraId="5BB2EEF6" w14:textId="799934D2"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D9D9D9" w:themeFill="background1" w:themeFillShade="D9"/>
            <w:vAlign w:val="center"/>
          </w:tcPr>
          <w:p w14:paraId="7A86343F" w14:textId="058C483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D9D9D9" w:themeFill="background1" w:themeFillShade="D9"/>
            <w:vAlign w:val="center"/>
          </w:tcPr>
          <w:p w14:paraId="098F4FC6" w14:textId="71BA227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D9D9D9" w:themeFill="background1" w:themeFillShade="D9"/>
            <w:vAlign w:val="center"/>
          </w:tcPr>
          <w:p w14:paraId="59F40E35" w14:textId="0CCA1970"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D9D9D9" w:themeFill="background1" w:themeFillShade="D9"/>
            <w:vAlign w:val="center"/>
          </w:tcPr>
          <w:p w14:paraId="02D1F8B3" w14:textId="403E9343"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D9D9D9" w:themeFill="background1" w:themeFillShade="D9"/>
            <w:vAlign w:val="center"/>
          </w:tcPr>
          <w:p w14:paraId="4C3E9EA7" w14:textId="3BA4464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D9D9D9" w:themeFill="background1" w:themeFillShade="D9"/>
            <w:vAlign w:val="center"/>
          </w:tcPr>
          <w:p w14:paraId="19594C48" w14:textId="282A1DCA"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7F7F1C95" w14:textId="77777777" w:rsidTr="00167F99">
        <w:trPr>
          <w:trHeight w:hRule="exact" w:val="230"/>
        </w:trPr>
        <w:tc>
          <w:tcPr>
            <w:tcW w:w="3960" w:type="dxa"/>
            <w:tcBorders>
              <w:top w:val="nil"/>
              <w:left w:val="nil"/>
              <w:bottom w:val="single" w:sz="4" w:space="0" w:color="auto"/>
              <w:right w:val="nil"/>
            </w:tcBorders>
            <w:shd w:val="clear" w:color="auto" w:fill="D9D9D9" w:themeFill="background1" w:themeFillShade="D9"/>
            <w:vAlign w:val="center"/>
          </w:tcPr>
          <w:p w14:paraId="630BB224" w14:textId="4A786F52"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D9D9D9" w:themeFill="background1" w:themeFillShade="D9"/>
            <w:vAlign w:val="center"/>
          </w:tcPr>
          <w:p w14:paraId="52BDF17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D9D9D9" w:themeFill="background1" w:themeFillShade="D9"/>
            <w:vAlign w:val="center"/>
          </w:tcPr>
          <w:p w14:paraId="5BE5024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D9D9D9" w:themeFill="background1" w:themeFillShade="D9"/>
            <w:vAlign w:val="center"/>
          </w:tcPr>
          <w:p w14:paraId="7B9613E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4787174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D9D9D9" w:themeFill="background1" w:themeFillShade="D9"/>
            <w:vAlign w:val="center"/>
          </w:tcPr>
          <w:p w14:paraId="2495EBC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D9D9D9" w:themeFill="background1" w:themeFillShade="D9"/>
            <w:vAlign w:val="center"/>
          </w:tcPr>
          <w:p w14:paraId="2682B5A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r w:rsidR="00167F99" w:rsidRPr="001C277A" w14:paraId="638971A1" w14:textId="77777777" w:rsidTr="00167F99">
        <w:trPr>
          <w:trHeight w:hRule="exact" w:val="230"/>
        </w:trPr>
        <w:tc>
          <w:tcPr>
            <w:tcW w:w="3960" w:type="dxa"/>
            <w:tcBorders>
              <w:top w:val="single" w:sz="4" w:space="0" w:color="auto"/>
              <w:left w:val="nil"/>
              <w:bottom w:val="nil"/>
              <w:right w:val="nil"/>
            </w:tcBorders>
            <w:shd w:val="clear" w:color="auto" w:fill="auto"/>
            <w:vAlign w:val="center"/>
          </w:tcPr>
          <w:p w14:paraId="3E486DC6" w14:textId="2AD9224E" w:rsidR="00167F99" w:rsidRPr="001C277A" w:rsidRDefault="00167F99" w:rsidP="00167F99">
            <w:pPr>
              <w:autoSpaceDE w:val="0"/>
              <w:autoSpaceDN w:val="0"/>
              <w:adjustRightInd w:val="0"/>
              <w:spacing w:after="0" w:line="240" w:lineRule="auto"/>
              <w:rPr>
                <w:rFonts w:ascii="Arial Narrow" w:hAnsi="Arial Narrow" w:cs="Arial"/>
                <w:sz w:val="18"/>
                <w:szCs w:val="20"/>
              </w:rPr>
            </w:pPr>
            <w:proofErr w:type="spellStart"/>
            <w:r w:rsidRPr="001C277A">
              <w:rPr>
                <w:rFonts w:ascii="Arial Narrow" w:hAnsi="Arial Narrow" w:cs="Arial"/>
                <w:b/>
                <w:sz w:val="18"/>
                <w:szCs w:val="20"/>
              </w:rPr>
              <w:t>YourPath</w:t>
            </w:r>
            <w:proofErr w:type="spellEnd"/>
            <w:r w:rsidRPr="001C277A">
              <w:rPr>
                <w:rFonts w:ascii="Arial Narrow" w:hAnsi="Arial Narrow" w:cs="Arial"/>
                <w:b/>
                <w:sz w:val="18"/>
                <w:szCs w:val="20"/>
              </w:rPr>
              <w:t xml:space="preserve"> iShares 2065 Growth</w:t>
            </w:r>
            <w:proofErr w:type="gramStart"/>
            <w:r w:rsidRPr="001C277A">
              <w:rPr>
                <w:rFonts w:ascii="Arial Narrow" w:hAnsi="Arial Narrow" w:cs="Arial"/>
                <w:sz w:val="18"/>
                <w:szCs w:val="20"/>
              </w:rPr>
              <w:t xml:space="preserve">   (</w:t>
            </w:r>
            <w:proofErr w:type="gramEnd"/>
            <w:r w:rsidRPr="001C277A">
              <w:rPr>
                <w:rFonts w:ascii="Arial Narrow" w:hAnsi="Arial Narrow" w:cs="Arial"/>
                <w:sz w:val="18"/>
                <w:szCs w:val="20"/>
              </w:rPr>
              <w:t>10/18)</w:t>
            </w:r>
          </w:p>
        </w:tc>
        <w:tc>
          <w:tcPr>
            <w:tcW w:w="913" w:type="dxa"/>
            <w:tcBorders>
              <w:top w:val="single" w:sz="4" w:space="0" w:color="auto"/>
              <w:left w:val="nil"/>
              <w:bottom w:val="nil"/>
              <w:right w:val="nil"/>
            </w:tcBorders>
            <w:shd w:val="clear" w:color="auto" w:fill="auto"/>
            <w:vAlign w:val="center"/>
          </w:tcPr>
          <w:p w14:paraId="7BA82642" w14:textId="6705C4A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913" w:type="dxa"/>
            <w:tcBorders>
              <w:top w:val="single" w:sz="4" w:space="0" w:color="auto"/>
              <w:left w:val="nil"/>
              <w:bottom w:val="nil"/>
              <w:right w:val="nil"/>
            </w:tcBorders>
            <w:shd w:val="clear" w:color="auto" w:fill="auto"/>
            <w:vAlign w:val="center"/>
          </w:tcPr>
          <w:p w14:paraId="7CD0B04D" w14:textId="63553A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78" w:type="dxa"/>
            <w:tcBorders>
              <w:top w:val="single" w:sz="4" w:space="0" w:color="auto"/>
              <w:left w:val="nil"/>
              <w:bottom w:val="nil"/>
              <w:right w:val="nil"/>
            </w:tcBorders>
            <w:shd w:val="clear" w:color="auto" w:fill="auto"/>
            <w:vAlign w:val="center"/>
          </w:tcPr>
          <w:p w14:paraId="6D0883C3" w14:textId="57B0C93C"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7AB3D18A" w14:textId="3424F31E"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single" w:sz="4" w:space="0" w:color="auto"/>
              <w:left w:val="nil"/>
              <w:bottom w:val="nil"/>
              <w:right w:val="nil"/>
            </w:tcBorders>
            <w:shd w:val="clear" w:color="auto" w:fill="auto"/>
            <w:vAlign w:val="center"/>
          </w:tcPr>
          <w:p w14:paraId="5F7A8528" w14:textId="088F8418"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0.14%</w:t>
            </w:r>
          </w:p>
        </w:tc>
        <w:tc>
          <w:tcPr>
            <w:tcW w:w="792" w:type="dxa"/>
            <w:tcBorders>
              <w:top w:val="single" w:sz="4" w:space="0" w:color="auto"/>
              <w:left w:val="nil"/>
              <w:bottom w:val="nil"/>
              <w:right w:val="nil"/>
            </w:tcBorders>
            <w:shd w:val="clear" w:color="auto" w:fill="auto"/>
            <w:vAlign w:val="center"/>
          </w:tcPr>
          <w:p w14:paraId="7A532A44" w14:textId="04CB370F"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$1.35</w:t>
            </w:r>
          </w:p>
        </w:tc>
      </w:tr>
      <w:tr w:rsidR="00167F99" w:rsidRPr="001C277A" w14:paraId="024A429C" w14:textId="77777777" w:rsidTr="00167F99">
        <w:trPr>
          <w:trHeight w:hRule="exact" w:val="230"/>
        </w:trPr>
        <w:tc>
          <w:tcPr>
            <w:tcW w:w="3960" w:type="dxa"/>
            <w:tcBorders>
              <w:top w:val="nil"/>
              <w:left w:val="nil"/>
              <w:bottom w:val="nil"/>
              <w:right w:val="nil"/>
            </w:tcBorders>
            <w:shd w:val="clear" w:color="auto" w:fill="auto"/>
            <w:vAlign w:val="center"/>
          </w:tcPr>
          <w:p w14:paraId="2CA7EE56" w14:textId="75EA1D6E"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Morningstar Lifetime Mod 2060 TR USD</w:t>
            </w:r>
          </w:p>
        </w:tc>
        <w:tc>
          <w:tcPr>
            <w:tcW w:w="913" w:type="dxa"/>
            <w:tcBorders>
              <w:top w:val="nil"/>
              <w:left w:val="nil"/>
              <w:bottom w:val="nil"/>
              <w:right w:val="nil"/>
            </w:tcBorders>
            <w:shd w:val="clear" w:color="auto" w:fill="auto"/>
            <w:vAlign w:val="center"/>
          </w:tcPr>
          <w:p w14:paraId="416F2A04" w14:textId="3177FF19"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15.12%</w:t>
            </w:r>
          </w:p>
        </w:tc>
        <w:tc>
          <w:tcPr>
            <w:tcW w:w="913" w:type="dxa"/>
            <w:tcBorders>
              <w:top w:val="nil"/>
              <w:left w:val="nil"/>
              <w:bottom w:val="nil"/>
              <w:right w:val="nil"/>
            </w:tcBorders>
            <w:shd w:val="clear" w:color="auto" w:fill="auto"/>
            <w:vAlign w:val="center"/>
          </w:tcPr>
          <w:p w14:paraId="60ABADF3" w14:textId="63822F7B"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8.33%</w:t>
            </w:r>
          </w:p>
        </w:tc>
        <w:tc>
          <w:tcPr>
            <w:tcW w:w="778" w:type="dxa"/>
            <w:tcBorders>
              <w:top w:val="nil"/>
              <w:left w:val="nil"/>
              <w:bottom w:val="nil"/>
              <w:right w:val="nil"/>
            </w:tcBorders>
            <w:shd w:val="clear" w:color="auto" w:fill="auto"/>
            <w:vAlign w:val="center"/>
          </w:tcPr>
          <w:p w14:paraId="353D1C98" w14:textId="146473E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7.15%</w:t>
            </w:r>
          </w:p>
        </w:tc>
        <w:tc>
          <w:tcPr>
            <w:tcW w:w="1080" w:type="dxa"/>
            <w:tcBorders>
              <w:top w:val="nil"/>
              <w:left w:val="nil"/>
              <w:bottom w:val="nil"/>
              <w:right w:val="nil"/>
            </w:tcBorders>
            <w:shd w:val="clear" w:color="auto" w:fill="auto"/>
            <w:vAlign w:val="center"/>
          </w:tcPr>
          <w:p w14:paraId="047EBA7B" w14:textId="6CBE2B51"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1080" w:type="dxa"/>
            <w:tcBorders>
              <w:top w:val="nil"/>
              <w:left w:val="nil"/>
              <w:bottom w:val="nil"/>
              <w:right w:val="nil"/>
            </w:tcBorders>
            <w:shd w:val="clear" w:color="auto" w:fill="auto"/>
            <w:vAlign w:val="center"/>
          </w:tcPr>
          <w:p w14:paraId="0CC4AA33" w14:textId="5690C58D"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c>
          <w:tcPr>
            <w:tcW w:w="792" w:type="dxa"/>
            <w:tcBorders>
              <w:top w:val="nil"/>
              <w:left w:val="nil"/>
              <w:bottom w:val="nil"/>
              <w:right w:val="nil"/>
            </w:tcBorders>
            <w:shd w:val="clear" w:color="auto" w:fill="auto"/>
            <w:vAlign w:val="center"/>
          </w:tcPr>
          <w:p w14:paraId="6FC20BC4" w14:textId="0AF78745"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r w:rsidRPr="001C277A">
              <w:rPr>
                <w:rFonts w:ascii="Arial Narrow" w:hAnsi="Arial Narrow" w:cs="Arial"/>
                <w:sz w:val="18"/>
                <w:szCs w:val="20"/>
              </w:rPr>
              <w:t>--</w:t>
            </w:r>
          </w:p>
        </w:tc>
      </w:tr>
      <w:tr w:rsidR="00167F99" w:rsidRPr="001C277A" w14:paraId="29B9C236" w14:textId="77777777" w:rsidTr="00167F99">
        <w:trPr>
          <w:trHeight w:hRule="exact" w:val="230"/>
        </w:trPr>
        <w:tc>
          <w:tcPr>
            <w:tcW w:w="3960" w:type="dxa"/>
            <w:tcBorders>
              <w:top w:val="nil"/>
              <w:left w:val="nil"/>
              <w:bottom w:val="single" w:sz="4" w:space="0" w:color="auto"/>
              <w:right w:val="nil"/>
            </w:tcBorders>
            <w:shd w:val="clear" w:color="auto" w:fill="auto"/>
            <w:vAlign w:val="center"/>
          </w:tcPr>
          <w:p w14:paraId="3C40C74C" w14:textId="565C5474" w:rsidR="00167F99" w:rsidRPr="001C277A" w:rsidRDefault="00167F99" w:rsidP="00167F99">
            <w:pPr>
              <w:autoSpaceDE w:val="0"/>
              <w:autoSpaceDN w:val="0"/>
              <w:adjustRightInd w:val="0"/>
              <w:spacing w:after="0" w:line="240" w:lineRule="auto"/>
              <w:rPr>
                <w:rFonts w:ascii="Arial Narrow" w:hAnsi="Arial Narrow" w:cs="Arial"/>
                <w:sz w:val="18"/>
                <w:szCs w:val="20"/>
              </w:rPr>
            </w:pPr>
            <w:r w:rsidRPr="001C277A">
              <w:rPr>
                <w:rFonts w:ascii="Arial Narrow" w:hAnsi="Arial Narrow" w:cs="Arial"/>
                <w:sz w:val="18"/>
                <w:szCs w:val="20"/>
              </w:rPr>
              <w:t>www.LincolnFinancial.com</w:t>
            </w:r>
          </w:p>
        </w:tc>
        <w:tc>
          <w:tcPr>
            <w:tcW w:w="913" w:type="dxa"/>
            <w:tcBorders>
              <w:top w:val="nil"/>
              <w:left w:val="nil"/>
              <w:bottom w:val="single" w:sz="4" w:space="0" w:color="auto"/>
              <w:right w:val="nil"/>
            </w:tcBorders>
            <w:shd w:val="clear" w:color="auto" w:fill="auto"/>
            <w:vAlign w:val="center"/>
          </w:tcPr>
          <w:p w14:paraId="1C2A83F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913" w:type="dxa"/>
            <w:tcBorders>
              <w:top w:val="nil"/>
              <w:left w:val="nil"/>
              <w:bottom w:val="single" w:sz="4" w:space="0" w:color="auto"/>
              <w:right w:val="nil"/>
            </w:tcBorders>
            <w:shd w:val="clear" w:color="auto" w:fill="auto"/>
            <w:vAlign w:val="center"/>
          </w:tcPr>
          <w:p w14:paraId="2614FD3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78" w:type="dxa"/>
            <w:tcBorders>
              <w:top w:val="nil"/>
              <w:left w:val="nil"/>
              <w:bottom w:val="single" w:sz="4" w:space="0" w:color="auto"/>
              <w:right w:val="nil"/>
            </w:tcBorders>
            <w:shd w:val="clear" w:color="auto" w:fill="auto"/>
            <w:vAlign w:val="center"/>
          </w:tcPr>
          <w:p w14:paraId="0E42C4B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281F1A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1080" w:type="dxa"/>
            <w:tcBorders>
              <w:top w:val="nil"/>
              <w:left w:val="nil"/>
              <w:bottom w:val="single" w:sz="4" w:space="0" w:color="auto"/>
              <w:right w:val="nil"/>
            </w:tcBorders>
            <w:shd w:val="clear" w:color="auto" w:fill="auto"/>
            <w:vAlign w:val="center"/>
          </w:tcPr>
          <w:p w14:paraId="3E217F7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c>
          <w:tcPr>
            <w:tcW w:w="792" w:type="dxa"/>
            <w:tcBorders>
              <w:top w:val="nil"/>
              <w:left w:val="nil"/>
              <w:bottom w:val="single" w:sz="4" w:space="0" w:color="auto"/>
              <w:right w:val="nil"/>
            </w:tcBorders>
            <w:shd w:val="clear" w:color="auto" w:fill="auto"/>
            <w:vAlign w:val="center"/>
          </w:tcPr>
          <w:p w14:paraId="26230D1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20"/>
              </w:rPr>
            </w:pPr>
          </w:p>
        </w:tc>
      </w:tr>
    </w:tbl>
    <w:p w14:paraId="333FF2C9" w14:textId="77777777" w:rsidR="00E867BE" w:rsidRPr="001C277A" w:rsidRDefault="00E867BE" w:rsidP="00B94F0C">
      <w:pPr>
        <w:autoSpaceDE w:val="0"/>
        <w:autoSpaceDN w:val="0"/>
        <w:adjustRightInd w:val="0"/>
        <w:spacing w:after="0" w:line="240" w:lineRule="auto"/>
        <w:jc w:val="both"/>
        <w:rPr>
          <w:rFonts w:cs="Arial"/>
          <w:color w:val="000000"/>
          <w:sz w:val="20"/>
          <w:szCs w:val="20"/>
        </w:rPr>
      </w:pPr>
    </w:p>
    <w:p w14:paraId="3751E6AE" w14:textId="77777777" w:rsidR="009705F5" w:rsidRPr="001C277A" w:rsidRDefault="009705F5" w:rsidP="00B94F0C">
      <w:pPr>
        <w:autoSpaceDE w:val="0"/>
        <w:autoSpaceDN w:val="0"/>
        <w:adjustRightInd w:val="0"/>
        <w:spacing w:after="0" w:line="240" w:lineRule="auto"/>
        <w:jc w:val="both"/>
        <w:rPr>
          <w:rFonts w:cs="Arial"/>
          <w:color w:val="000000"/>
          <w:sz w:val="14"/>
          <w:szCs w:val="14"/>
        </w:rPr>
      </w:pPr>
      <w:r w:rsidRPr="001C277A">
        <w:rPr>
          <w:rFonts w:cs="Arial"/>
          <w:color w:val="000000"/>
          <w:sz w:val="14"/>
          <w:szCs w:val="14"/>
        </w:rPr>
        <w:t>Standardized performance cannot be calculated until a customer has invested in the above unitized model portfolio. If returns are not available for any given period a “</w:t>
      </w:r>
      <w:proofErr w:type="gramStart"/>
      <w:r w:rsidRPr="001C277A">
        <w:rPr>
          <w:rFonts w:cs="Arial"/>
          <w:color w:val="000000"/>
          <w:sz w:val="14"/>
          <w:szCs w:val="14"/>
        </w:rPr>
        <w:t>—“ is</w:t>
      </w:r>
      <w:proofErr w:type="gramEnd"/>
      <w:r w:rsidRPr="001C277A">
        <w:rPr>
          <w:rFonts w:cs="Arial"/>
          <w:color w:val="000000"/>
          <w:sz w:val="14"/>
          <w:szCs w:val="14"/>
        </w:rPr>
        <w:t xml:space="preserve"> displayed.</w:t>
      </w:r>
    </w:p>
    <w:p w14:paraId="77FFF01F" w14:textId="77777777" w:rsidR="00241E7D" w:rsidRPr="001C277A" w:rsidRDefault="00241E7D" w:rsidP="00B94F0C">
      <w:pPr>
        <w:autoSpaceDE w:val="0"/>
        <w:autoSpaceDN w:val="0"/>
        <w:adjustRightInd w:val="0"/>
        <w:spacing w:after="0" w:line="240" w:lineRule="auto"/>
        <w:jc w:val="both"/>
        <w:rPr>
          <w:rFonts w:cs="Arial"/>
          <w:color w:val="000000"/>
          <w:sz w:val="20"/>
          <w:szCs w:val="20"/>
        </w:rPr>
      </w:pPr>
    </w:p>
    <w:p w14:paraId="10053645" w14:textId="77777777" w:rsidR="00CA5932" w:rsidRPr="001C277A" w:rsidRDefault="00CA5932">
      <w:pPr>
        <w:rPr>
          <w:rFonts w:cs="Arial"/>
          <w:color w:val="000000"/>
          <w:sz w:val="20"/>
          <w:szCs w:val="20"/>
        </w:rPr>
      </w:pPr>
      <w:r w:rsidRPr="001C277A">
        <w:rPr>
          <w:rFonts w:cs="Arial"/>
          <w:color w:val="000000"/>
          <w:sz w:val="20"/>
          <w:szCs w:val="20"/>
        </w:rPr>
        <w:br w:type="page"/>
      </w:r>
    </w:p>
    <w:p w14:paraId="30ABDEE8" w14:textId="5737BAC7" w:rsidR="009705F5" w:rsidRPr="001C277A" w:rsidRDefault="009705F5" w:rsidP="00B94F0C">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lastRenderedPageBreak/>
        <w:t xml:space="preserve">The Model Portfolio options shown above in Chart </w:t>
      </w:r>
      <w:r w:rsidR="00167F99" w:rsidRPr="001C277A">
        <w:rPr>
          <w:rFonts w:cs="Arial"/>
          <w:color w:val="000000"/>
          <w:sz w:val="20"/>
          <w:szCs w:val="20"/>
        </w:rPr>
        <w:t>4a</w:t>
      </w:r>
      <w:r w:rsidRPr="001C277A">
        <w:rPr>
          <w:rFonts w:cs="Arial"/>
          <w:color w:val="000000"/>
          <w:sz w:val="20"/>
          <w:szCs w:val="20"/>
        </w:rPr>
        <w:t xml:space="preserve"> - Unitized model portfolio </w:t>
      </w:r>
      <w:proofErr w:type="gramStart"/>
      <w:r w:rsidRPr="001C277A">
        <w:rPr>
          <w:rFonts w:cs="Arial"/>
          <w:color w:val="000000"/>
          <w:sz w:val="20"/>
          <w:szCs w:val="20"/>
        </w:rPr>
        <w:t>are</w:t>
      </w:r>
      <w:proofErr w:type="gramEnd"/>
      <w:r w:rsidRPr="001C277A">
        <w:rPr>
          <w:rFonts w:cs="Arial"/>
          <w:color w:val="000000"/>
          <w:sz w:val="20"/>
          <w:szCs w:val="20"/>
        </w:rPr>
        <w:t xml:space="preserve"> created from a mix of the below funds. Your ownership interest is in the underlying funds.</w:t>
      </w:r>
    </w:p>
    <w:p w14:paraId="1694504E" w14:textId="7DA2E93B" w:rsidR="00167F99" w:rsidRPr="001C277A" w:rsidRDefault="00167F99">
      <w:bookmarkStart w:id="34" w:name="ChartUIstart"/>
      <w:bookmarkEnd w:id="33"/>
      <w:bookmarkEnd w:id="34"/>
    </w:p>
    <w:tbl>
      <w:tblPr>
        <w:tblW w:w="95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3937"/>
        <w:gridCol w:w="22"/>
        <w:gridCol w:w="887"/>
        <w:gridCol w:w="13"/>
        <w:gridCol w:w="900"/>
        <w:gridCol w:w="775"/>
        <w:gridCol w:w="8"/>
        <w:gridCol w:w="1065"/>
        <w:gridCol w:w="15"/>
        <w:gridCol w:w="1058"/>
        <w:gridCol w:w="22"/>
        <w:gridCol w:w="784"/>
        <w:gridCol w:w="10"/>
      </w:tblGrid>
      <w:tr w:rsidR="009705F5" w:rsidRPr="001C277A" w14:paraId="1B38425E" w14:textId="77777777" w:rsidTr="00167F99">
        <w:trPr>
          <w:gridBefore w:val="1"/>
          <w:wBefore w:w="25" w:type="dxa"/>
        </w:trPr>
        <w:tc>
          <w:tcPr>
            <w:tcW w:w="9495" w:type="dxa"/>
            <w:gridSpan w:val="13"/>
            <w:tcBorders>
              <w:bottom w:val="nil"/>
            </w:tcBorders>
            <w:shd w:val="clear" w:color="auto" w:fill="000000" w:themeFill="text1"/>
          </w:tcPr>
          <w:p w14:paraId="46CC0067" w14:textId="2F20C0E1" w:rsidR="00213450" w:rsidRPr="001C277A" w:rsidRDefault="009705F5" w:rsidP="00213450">
            <w:pPr>
              <w:autoSpaceDE w:val="0"/>
              <w:autoSpaceDN w:val="0"/>
              <w:adjustRightInd w:val="0"/>
              <w:spacing w:after="0" w:line="240" w:lineRule="auto"/>
              <w:jc w:val="center"/>
              <w:rPr>
                <w:rFonts w:cs="Arial"/>
                <w:b/>
                <w:color w:val="FFFFFF" w:themeColor="background1"/>
                <w:sz w:val="18"/>
                <w:szCs w:val="18"/>
              </w:rPr>
            </w:pPr>
            <w:r w:rsidRPr="001C277A">
              <w:rPr>
                <w:rFonts w:cs="Arial"/>
                <w:b/>
                <w:color w:val="FFFFFF" w:themeColor="background1"/>
                <w:sz w:val="18"/>
                <w:szCs w:val="18"/>
              </w:rPr>
              <w:t xml:space="preserve">Chart </w:t>
            </w:r>
            <w:r w:rsidR="00167F99" w:rsidRPr="001C277A">
              <w:rPr>
                <w:rFonts w:cs="Arial"/>
                <w:b/>
                <w:color w:val="FFFFFF" w:themeColor="background1"/>
                <w:sz w:val="18"/>
                <w:szCs w:val="18"/>
              </w:rPr>
              <w:t>4b</w:t>
            </w:r>
            <w:r w:rsidRPr="001C277A">
              <w:rPr>
                <w:rFonts w:cs="Arial"/>
                <w:b/>
                <w:color w:val="FFFFFF" w:themeColor="background1"/>
                <w:sz w:val="18"/>
                <w:szCs w:val="18"/>
              </w:rPr>
              <w:t>- Underlying Investments</w:t>
            </w:r>
          </w:p>
        </w:tc>
      </w:tr>
      <w:tr w:rsidR="00213450" w:rsidRPr="001C277A" w14:paraId="163445A3" w14:textId="77777777" w:rsidTr="00167F99">
        <w:trPr>
          <w:gridBefore w:val="1"/>
          <w:wBefore w:w="25" w:type="dxa"/>
          <w:trHeight w:val="485"/>
        </w:trPr>
        <w:tc>
          <w:tcPr>
            <w:tcW w:w="3960" w:type="dxa"/>
            <w:gridSpan w:val="2"/>
            <w:tcBorders>
              <w:top w:val="single" w:sz="4" w:space="0" w:color="auto"/>
              <w:bottom w:val="nil"/>
            </w:tcBorders>
            <w:shd w:val="clear" w:color="auto" w:fill="FFFFFF"/>
            <w:vAlign w:val="bottom"/>
          </w:tcPr>
          <w:p w14:paraId="5856C68C" w14:textId="77777777" w:rsidR="00213450" w:rsidRPr="001C277A" w:rsidRDefault="00213450" w:rsidP="00213450">
            <w:pPr>
              <w:autoSpaceDE w:val="0"/>
              <w:autoSpaceDN w:val="0"/>
              <w:adjustRightInd w:val="0"/>
              <w:spacing w:after="0" w:line="240" w:lineRule="auto"/>
              <w:rPr>
                <w:rFonts w:ascii="Arial Narrow" w:hAnsi="Arial Narrow" w:cs="Arial"/>
                <w:b/>
                <w:color w:val="000000"/>
                <w:sz w:val="18"/>
                <w:szCs w:val="18"/>
              </w:rPr>
            </w:pPr>
          </w:p>
        </w:tc>
        <w:tc>
          <w:tcPr>
            <w:tcW w:w="3663" w:type="dxa"/>
            <w:gridSpan w:val="7"/>
            <w:tcBorders>
              <w:bottom w:val="single" w:sz="4" w:space="0" w:color="auto"/>
            </w:tcBorders>
            <w:shd w:val="clear" w:color="auto" w:fill="FFFFFF"/>
            <w:vAlign w:val="center"/>
          </w:tcPr>
          <w:p w14:paraId="140BBDC2" w14:textId="41CB8041"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Average annual total return as of</w:t>
            </w:r>
            <w:r w:rsidR="004D7AFD" w:rsidRPr="001C277A">
              <w:rPr>
                <w:rFonts w:ascii="Arial Narrow" w:hAnsi="Arial Narrow" w:cs="Arial"/>
                <w:b/>
                <w:color w:val="000000"/>
                <w:sz w:val="18"/>
                <w:szCs w:val="18"/>
              </w:rPr>
              <w:t xml:space="preserve"> </w:t>
            </w:r>
            <w:bookmarkStart w:id="35" w:name="QEunderlyingFundChart"/>
            <w:bookmarkEnd w:id="35"/>
            <w:r w:rsidR="00167F99" w:rsidRPr="001C277A">
              <w:rPr>
                <w:rFonts w:ascii="Arial Narrow" w:hAnsi="Arial Narrow" w:cs="Arial"/>
                <w:b/>
                <w:color w:val="000000"/>
                <w:sz w:val="18"/>
                <w:szCs w:val="18"/>
              </w:rPr>
              <w:t>3/31/2024</w:t>
            </w:r>
          </w:p>
        </w:tc>
        <w:tc>
          <w:tcPr>
            <w:tcW w:w="1872" w:type="dxa"/>
            <w:gridSpan w:val="4"/>
            <w:tcBorders>
              <w:bottom w:val="single" w:sz="4" w:space="0" w:color="auto"/>
            </w:tcBorders>
            <w:shd w:val="clear" w:color="auto" w:fill="FFFFFF"/>
            <w:vAlign w:val="center"/>
          </w:tcPr>
          <w:p w14:paraId="217B673D"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Total annual operating expenses</w:t>
            </w:r>
          </w:p>
        </w:tc>
      </w:tr>
      <w:tr w:rsidR="00213450" w:rsidRPr="001C277A" w14:paraId="02583747" w14:textId="77777777" w:rsidTr="00167F99">
        <w:trPr>
          <w:gridBefore w:val="1"/>
          <w:wBefore w:w="25" w:type="dxa"/>
          <w:trHeight w:val="530"/>
        </w:trPr>
        <w:tc>
          <w:tcPr>
            <w:tcW w:w="3960" w:type="dxa"/>
            <w:gridSpan w:val="2"/>
            <w:tcBorders>
              <w:top w:val="nil"/>
              <w:bottom w:val="nil"/>
            </w:tcBorders>
            <w:shd w:val="clear" w:color="auto" w:fill="FFFFFF"/>
          </w:tcPr>
          <w:p w14:paraId="6E6033B6" w14:textId="77777777" w:rsidR="00213450" w:rsidRPr="001C277A" w:rsidRDefault="0094355E" w:rsidP="0094355E">
            <w:pPr>
              <w:autoSpaceDE w:val="0"/>
              <w:autoSpaceDN w:val="0"/>
              <w:adjustRightInd w:val="0"/>
              <w:spacing w:after="0" w:line="240" w:lineRule="auto"/>
              <w:rPr>
                <w:rFonts w:ascii="Arial Narrow" w:hAnsi="Arial Narrow" w:cs="Arial"/>
                <w:color w:val="000000"/>
                <w:sz w:val="18"/>
                <w:szCs w:val="18"/>
              </w:rPr>
            </w:pPr>
            <w:r w:rsidRPr="001C277A">
              <w:rPr>
                <w:rFonts w:ascii="Arial Narrow" w:hAnsi="Arial Narrow" w:cs="Arial"/>
                <w:b/>
                <w:color w:val="000000"/>
                <w:sz w:val="18"/>
                <w:szCs w:val="18"/>
              </w:rPr>
              <w:t>Underlying Investments in Model</w:t>
            </w:r>
          </w:p>
        </w:tc>
        <w:tc>
          <w:tcPr>
            <w:tcW w:w="900" w:type="dxa"/>
            <w:gridSpan w:val="2"/>
            <w:shd w:val="clear" w:color="auto" w:fill="FFFFFF"/>
            <w:vAlign w:val="center"/>
          </w:tcPr>
          <w:p w14:paraId="7BACC17A"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1-yr.</w:t>
            </w:r>
          </w:p>
        </w:tc>
        <w:tc>
          <w:tcPr>
            <w:tcW w:w="900" w:type="dxa"/>
            <w:shd w:val="clear" w:color="auto" w:fill="FFFFFF"/>
            <w:vAlign w:val="center"/>
          </w:tcPr>
          <w:p w14:paraId="2D8768F9"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5-yr.</w:t>
            </w:r>
          </w:p>
        </w:tc>
        <w:tc>
          <w:tcPr>
            <w:tcW w:w="783" w:type="dxa"/>
            <w:gridSpan w:val="2"/>
            <w:shd w:val="clear" w:color="auto" w:fill="FFFFFF"/>
            <w:vAlign w:val="center"/>
          </w:tcPr>
          <w:p w14:paraId="3ED2D17A"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10-yr.</w:t>
            </w:r>
          </w:p>
        </w:tc>
        <w:tc>
          <w:tcPr>
            <w:tcW w:w="1080" w:type="dxa"/>
            <w:gridSpan w:val="2"/>
            <w:shd w:val="clear" w:color="auto" w:fill="FFFFFF"/>
            <w:vAlign w:val="center"/>
          </w:tcPr>
          <w:p w14:paraId="38BB17ED"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Since inception</w:t>
            </w:r>
          </w:p>
        </w:tc>
        <w:tc>
          <w:tcPr>
            <w:tcW w:w="1080" w:type="dxa"/>
            <w:gridSpan w:val="2"/>
            <w:shd w:val="clear" w:color="auto" w:fill="FFFFFF"/>
            <w:vAlign w:val="center"/>
          </w:tcPr>
          <w:p w14:paraId="7C91BA6F"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As a %</w:t>
            </w:r>
          </w:p>
        </w:tc>
        <w:tc>
          <w:tcPr>
            <w:tcW w:w="792" w:type="dxa"/>
            <w:gridSpan w:val="2"/>
            <w:shd w:val="clear" w:color="auto" w:fill="FFFFFF"/>
            <w:vAlign w:val="center"/>
          </w:tcPr>
          <w:p w14:paraId="7DAA1E45" w14:textId="77777777" w:rsidR="00213450" w:rsidRPr="001C277A" w:rsidRDefault="00213450" w:rsidP="00213450">
            <w:pPr>
              <w:autoSpaceDE w:val="0"/>
              <w:autoSpaceDN w:val="0"/>
              <w:adjustRightInd w:val="0"/>
              <w:spacing w:after="0" w:line="240" w:lineRule="auto"/>
              <w:jc w:val="center"/>
              <w:rPr>
                <w:rFonts w:ascii="Arial Narrow" w:hAnsi="Arial Narrow" w:cs="Arial"/>
                <w:b/>
                <w:color w:val="000000"/>
                <w:sz w:val="18"/>
                <w:szCs w:val="18"/>
              </w:rPr>
            </w:pPr>
            <w:r w:rsidRPr="001C277A">
              <w:rPr>
                <w:rFonts w:ascii="Arial Narrow" w:hAnsi="Arial Narrow" w:cs="Arial"/>
                <w:b/>
                <w:color w:val="000000"/>
                <w:sz w:val="18"/>
                <w:szCs w:val="18"/>
              </w:rPr>
              <w:t>Per $1,000</w:t>
            </w:r>
          </w:p>
        </w:tc>
      </w:tr>
      <w:tr w:rsidR="00167F99" w:rsidRPr="001C277A" w14:paraId="67DDB611" w14:textId="77777777" w:rsidTr="00167F99">
        <w:trPr>
          <w:gridBefore w:val="1"/>
          <w:wBefore w:w="25" w:type="dxa"/>
          <w:trHeight w:val="320"/>
        </w:trPr>
        <w:tc>
          <w:tcPr>
            <w:tcW w:w="3960" w:type="dxa"/>
            <w:gridSpan w:val="2"/>
            <w:tcBorders>
              <w:top w:val="nil"/>
              <w:bottom w:val="single" w:sz="4" w:space="0" w:color="auto"/>
            </w:tcBorders>
            <w:shd w:val="clear" w:color="auto" w:fill="000000"/>
            <w:vAlign w:val="center"/>
          </w:tcPr>
          <w:p w14:paraId="7710874E" w14:textId="3F9E94A6"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r w:rsidRPr="001C277A">
              <w:rPr>
                <w:rFonts w:ascii="Arial Narrow" w:hAnsi="Arial Narrow" w:cs="Arial"/>
                <w:b/>
                <w:color w:val="FFFFFF"/>
                <w:sz w:val="18"/>
                <w:szCs w:val="18"/>
              </w:rPr>
              <w:t>Equity Funds</w:t>
            </w:r>
          </w:p>
        </w:tc>
        <w:tc>
          <w:tcPr>
            <w:tcW w:w="900" w:type="dxa"/>
            <w:gridSpan w:val="2"/>
            <w:tcBorders>
              <w:bottom w:val="single" w:sz="4" w:space="0" w:color="auto"/>
            </w:tcBorders>
            <w:shd w:val="clear" w:color="auto" w:fill="000000"/>
            <w:vAlign w:val="center"/>
          </w:tcPr>
          <w:p w14:paraId="5023B8D7"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900" w:type="dxa"/>
            <w:tcBorders>
              <w:bottom w:val="single" w:sz="4" w:space="0" w:color="auto"/>
            </w:tcBorders>
            <w:shd w:val="clear" w:color="auto" w:fill="000000"/>
            <w:vAlign w:val="center"/>
          </w:tcPr>
          <w:p w14:paraId="0576F38A"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83" w:type="dxa"/>
            <w:gridSpan w:val="2"/>
            <w:tcBorders>
              <w:bottom w:val="single" w:sz="4" w:space="0" w:color="auto"/>
            </w:tcBorders>
            <w:shd w:val="clear" w:color="auto" w:fill="000000"/>
            <w:vAlign w:val="center"/>
          </w:tcPr>
          <w:p w14:paraId="3F69AA08"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bottom w:val="single" w:sz="4" w:space="0" w:color="auto"/>
            </w:tcBorders>
            <w:shd w:val="clear" w:color="auto" w:fill="000000"/>
            <w:vAlign w:val="center"/>
          </w:tcPr>
          <w:p w14:paraId="53ACD7E3"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bottom w:val="single" w:sz="4" w:space="0" w:color="auto"/>
            </w:tcBorders>
            <w:shd w:val="clear" w:color="auto" w:fill="000000"/>
            <w:vAlign w:val="center"/>
          </w:tcPr>
          <w:p w14:paraId="28E2F748"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92" w:type="dxa"/>
            <w:gridSpan w:val="2"/>
            <w:tcBorders>
              <w:bottom w:val="single" w:sz="4" w:space="0" w:color="auto"/>
            </w:tcBorders>
            <w:shd w:val="clear" w:color="auto" w:fill="000000"/>
            <w:vAlign w:val="center"/>
          </w:tcPr>
          <w:p w14:paraId="26355A80"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r>
      <w:tr w:rsidR="00167F99" w:rsidRPr="001C277A" w14:paraId="3E8F15B1"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auto"/>
            <w:vAlign w:val="center"/>
          </w:tcPr>
          <w:p w14:paraId="3212720F" w14:textId="123FECFD"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MSCI EAFE Intl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03/11)</w:t>
            </w:r>
          </w:p>
        </w:tc>
        <w:tc>
          <w:tcPr>
            <w:tcW w:w="900" w:type="dxa"/>
            <w:gridSpan w:val="2"/>
            <w:tcBorders>
              <w:top w:val="single" w:sz="4" w:space="0" w:color="auto"/>
              <w:left w:val="nil"/>
              <w:bottom w:val="nil"/>
              <w:right w:val="nil"/>
            </w:tcBorders>
            <w:shd w:val="clear" w:color="auto" w:fill="auto"/>
            <w:vAlign w:val="center"/>
          </w:tcPr>
          <w:p w14:paraId="08AE7C2C" w14:textId="3973568A"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15.35%</w:t>
            </w:r>
          </w:p>
        </w:tc>
        <w:tc>
          <w:tcPr>
            <w:tcW w:w="900" w:type="dxa"/>
            <w:tcBorders>
              <w:top w:val="single" w:sz="4" w:space="0" w:color="auto"/>
              <w:left w:val="nil"/>
              <w:bottom w:val="nil"/>
              <w:right w:val="nil"/>
            </w:tcBorders>
            <w:shd w:val="clear" w:color="auto" w:fill="auto"/>
            <w:vAlign w:val="center"/>
          </w:tcPr>
          <w:p w14:paraId="28DE6BD8" w14:textId="18CBC18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7.48%</w:t>
            </w:r>
          </w:p>
        </w:tc>
        <w:tc>
          <w:tcPr>
            <w:tcW w:w="783" w:type="dxa"/>
            <w:gridSpan w:val="2"/>
            <w:tcBorders>
              <w:top w:val="single" w:sz="4" w:space="0" w:color="auto"/>
              <w:left w:val="nil"/>
              <w:bottom w:val="nil"/>
              <w:right w:val="nil"/>
            </w:tcBorders>
            <w:shd w:val="clear" w:color="auto" w:fill="auto"/>
            <w:vAlign w:val="center"/>
          </w:tcPr>
          <w:p w14:paraId="77DBF85C" w14:textId="5BCD1AC2"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4.82%</w:t>
            </w:r>
          </w:p>
        </w:tc>
        <w:tc>
          <w:tcPr>
            <w:tcW w:w="1080" w:type="dxa"/>
            <w:gridSpan w:val="2"/>
            <w:tcBorders>
              <w:top w:val="single" w:sz="4" w:space="0" w:color="auto"/>
              <w:left w:val="nil"/>
              <w:bottom w:val="nil"/>
              <w:right w:val="nil"/>
            </w:tcBorders>
            <w:shd w:val="clear" w:color="auto" w:fill="auto"/>
            <w:vAlign w:val="center"/>
          </w:tcPr>
          <w:p w14:paraId="4CD3D8C8" w14:textId="66886AD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5.34%</w:t>
            </w:r>
          </w:p>
        </w:tc>
        <w:tc>
          <w:tcPr>
            <w:tcW w:w="1080" w:type="dxa"/>
            <w:gridSpan w:val="2"/>
            <w:tcBorders>
              <w:top w:val="single" w:sz="4" w:space="0" w:color="auto"/>
              <w:left w:val="nil"/>
              <w:bottom w:val="nil"/>
              <w:right w:val="nil"/>
            </w:tcBorders>
            <w:shd w:val="clear" w:color="auto" w:fill="auto"/>
            <w:vAlign w:val="center"/>
          </w:tcPr>
          <w:p w14:paraId="76305821" w14:textId="1A772581"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0.04%</w:t>
            </w:r>
          </w:p>
        </w:tc>
        <w:tc>
          <w:tcPr>
            <w:tcW w:w="792" w:type="dxa"/>
            <w:gridSpan w:val="2"/>
            <w:tcBorders>
              <w:top w:val="single" w:sz="4" w:space="0" w:color="auto"/>
              <w:left w:val="nil"/>
              <w:bottom w:val="nil"/>
              <w:right w:val="nil"/>
            </w:tcBorders>
            <w:shd w:val="clear" w:color="auto" w:fill="auto"/>
            <w:vAlign w:val="center"/>
          </w:tcPr>
          <w:p w14:paraId="37B1E446" w14:textId="67E67B3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$0.40</w:t>
            </w:r>
          </w:p>
        </w:tc>
      </w:tr>
      <w:tr w:rsidR="00167F99" w:rsidRPr="001C277A" w14:paraId="5F905DA0"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55B5ACE6" w14:textId="4064B65D"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 xml:space="preserve">Morningstar </w:t>
            </w:r>
            <w:proofErr w:type="spellStart"/>
            <w:r w:rsidRPr="001C277A">
              <w:rPr>
                <w:rFonts w:ascii="Arial Narrow" w:hAnsi="Arial Narrow" w:cs="Arial"/>
                <w:sz w:val="18"/>
                <w:szCs w:val="18"/>
              </w:rPr>
              <w:t>Gbl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xUS</w:t>
            </w:r>
            <w:proofErr w:type="spellEnd"/>
            <w:r w:rsidRPr="001C277A">
              <w:rPr>
                <w:rFonts w:ascii="Arial Narrow" w:hAnsi="Arial Narrow" w:cs="Arial"/>
                <w:sz w:val="18"/>
                <w:szCs w:val="18"/>
              </w:rPr>
              <w:t xml:space="preserve"> TME NR USD</w:t>
            </w:r>
          </w:p>
        </w:tc>
        <w:tc>
          <w:tcPr>
            <w:tcW w:w="900" w:type="dxa"/>
            <w:gridSpan w:val="2"/>
            <w:tcBorders>
              <w:top w:val="nil"/>
              <w:left w:val="nil"/>
              <w:bottom w:val="nil"/>
              <w:right w:val="nil"/>
            </w:tcBorders>
            <w:shd w:val="clear" w:color="auto" w:fill="auto"/>
            <w:vAlign w:val="center"/>
          </w:tcPr>
          <w:p w14:paraId="35B6E7C5" w14:textId="72B4F58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13.74%</w:t>
            </w:r>
          </w:p>
        </w:tc>
        <w:tc>
          <w:tcPr>
            <w:tcW w:w="900" w:type="dxa"/>
            <w:tcBorders>
              <w:top w:val="nil"/>
              <w:left w:val="nil"/>
              <w:bottom w:val="nil"/>
              <w:right w:val="nil"/>
            </w:tcBorders>
            <w:shd w:val="clear" w:color="auto" w:fill="auto"/>
            <w:vAlign w:val="center"/>
          </w:tcPr>
          <w:p w14:paraId="44E63FD7" w14:textId="233D5EB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6.27%</w:t>
            </w:r>
          </w:p>
        </w:tc>
        <w:tc>
          <w:tcPr>
            <w:tcW w:w="783" w:type="dxa"/>
            <w:gridSpan w:val="2"/>
            <w:tcBorders>
              <w:top w:val="nil"/>
              <w:left w:val="nil"/>
              <w:bottom w:val="nil"/>
              <w:right w:val="nil"/>
            </w:tcBorders>
            <w:shd w:val="clear" w:color="auto" w:fill="auto"/>
            <w:vAlign w:val="center"/>
          </w:tcPr>
          <w:p w14:paraId="502BFBB0" w14:textId="0468792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4.45%</w:t>
            </w:r>
          </w:p>
        </w:tc>
        <w:tc>
          <w:tcPr>
            <w:tcW w:w="1080" w:type="dxa"/>
            <w:gridSpan w:val="2"/>
            <w:tcBorders>
              <w:top w:val="nil"/>
              <w:left w:val="nil"/>
              <w:bottom w:val="nil"/>
              <w:right w:val="nil"/>
            </w:tcBorders>
            <w:shd w:val="clear" w:color="auto" w:fill="auto"/>
            <w:vAlign w:val="center"/>
          </w:tcPr>
          <w:p w14:paraId="42636DF2" w14:textId="36FD0771"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auto"/>
            <w:vAlign w:val="center"/>
          </w:tcPr>
          <w:p w14:paraId="7B7DC30A" w14:textId="241342F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auto"/>
            <w:vAlign w:val="center"/>
          </w:tcPr>
          <w:p w14:paraId="22B04694" w14:textId="11FC80B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F43D48D"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auto"/>
            <w:vAlign w:val="center"/>
          </w:tcPr>
          <w:p w14:paraId="5565A887" w14:textId="183E0715"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auto"/>
            <w:vAlign w:val="center"/>
          </w:tcPr>
          <w:p w14:paraId="37FF345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auto"/>
            <w:vAlign w:val="center"/>
          </w:tcPr>
          <w:p w14:paraId="5487934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auto"/>
            <w:vAlign w:val="center"/>
          </w:tcPr>
          <w:p w14:paraId="702A8C1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2B4D6B7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542123C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auto"/>
            <w:vAlign w:val="center"/>
          </w:tcPr>
          <w:p w14:paraId="166657D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6F6DF61C"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D9D9D9" w:themeFill="background1" w:themeFillShade="D9"/>
            <w:vAlign w:val="center"/>
          </w:tcPr>
          <w:p w14:paraId="5DC113B3" w14:textId="68878DE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MSCI Total Intl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06/11)</w:t>
            </w:r>
          </w:p>
        </w:tc>
        <w:tc>
          <w:tcPr>
            <w:tcW w:w="900" w:type="dxa"/>
            <w:gridSpan w:val="2"/>
            <w:tcBorders>
              <w:top w:val="single" w:sz="4" w:space="0" w:color="auto"/>
              <w:left w:val="nil"/>
              <w:bottom w:val="nil"/>
              <w:right w:val="nil"/>
            </w:tcBorders>
            <w:shd w:val="clear" w:color="auto" w:fill="D9D9D9" w:themeFill="background1" w:themeFillShade="D9"/>
            <w:vAlign w:val="center"/>
          </w:tcPr>
          <w:p w14:paraId="531DA1F4" w14:textId="335BA8F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12.56%</w:t>
            </w:r>
          </w:p>
        </w:tc>
        <w:tc>
          <w:tcPr>
            <w:tcW w:w="900" w:type="dxa"/>
            <w:tcBorders>
              <w:top w:val="single" w:sz="4" w:space="0" w:color="auto"/>
              <w:left w:val="nil"/>
              <w:bottom w:val="nil"/>
              <w:right w:val="nil"/>
            </w:tcBorders>
            <w:shd w:val="clear" w:color="auto" w:fill="D9D9D9" w:themeFill="background1" w:themeFillShade="D9"/>
            <w:vAlign w:val="center"/>
          </w:tcPr>
          <w:p w14:paraId="32DAE502" w14:textId="5E6DE19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5.74%</w:t>
            </w:r>
          </w:p>
        </w:tc>
        <w:tc>
          <w:tcPr>
            <w:tcW w:w="783" w:type="dxa"/>
            <w:gridSpan w:val="2"/>
            <w:tcBorders>
              <w:top w:val="single" w:sz="4" w:space="0" w:color="auto"/>
              <w:left w:val="nil"/>
              <w:bottom w:val="nil"/>
              <w:right w:val="nil"/>
            </w:tcBorders>
            <w:shd w:val="clear" w:color="auto" w:fill="D9D9D9" w:themeFill="background1" w:themeFillShade="D9"/>
            <w:vAlign w:val="center"/>
          </w:tcPr>
          <w:p w14:paraId="12904FA0" w14:textId="38748A91"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4.10%</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454B750E" w14:textId="69F4AA4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4.10%</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7AD6824F" w14:textId="6A362CB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0.10%</w:t>
            </w:r>
          </w:p>
        </w:tc>
        <w:tc>
          <w:tcPr>
            <w:tcW w:w="792" w:type="dxa"/>
            <w:gridSpan w:val="2"/>
            <w:tcBorders>
              <w:top w:val="single" w:sz="4" w:space="0" w:color="auto"/>
              <w:left w:val="nil"/>
              <w:bottom w:val="nil"/>
              <w:right w:val="nil"/>
            </w:tcBorders>
            <w:shd w:val="clear" w:color="auto" w:fill="D9D9D9" w:themeFill="background1" w:themeFillShade="D9"/>
            <w:vAlign w:val="center"/>
          </w:tcPr>
          <w:p w14:paraId="125203F1" w14:textId="3B5DE25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$1.00</w:t>
            </w:r>
          </w:p>
        </w:tc>
      </w:tr>
      <w:tr w:rsidR="00167F99" w:rsidRPr="001C277A" w14:paraId="5378B5B7"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4E3630DE" w14:textId="58E013FB"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 xml:space="preserve">Morningstar </w:t>
            </w:r>
            <w:proofErr w:type="spellStart"/>
            <w:r w:rsidRPr="001C277A">
              <w:rPr>
                <w:rFonts w:ascii="Arial Narrow" w:hAnsi="Arial Narrow" w:cs="Arial"/>
                <w:sz w:val="18"/>
                <w:szCs w:val="18"/>
              </w:rPr>
              <w:t>Gbl</w:t>
            </w:r>
            <w:proofErr w:type="spellEnd"/>
            <w:r w:rsidRPr="001C277A">
              <w:rPr>
                <w:rFonts w:ascii="Arial Narrow" w:hAnsi="Arial Narrow" w:cs="Arial"/>
                <w:sz w:val="18"/>
                <w:szCs w:val="18"/>
              </w:rPr>
              <w:t xml:space="preserve"> </w:t>
            </w:r>
            <w:proofErr w:type="spellStart"/>
            <w:r w:rsidRPr="001C277A">
              <w:rPr>
                <w:rFonts w:ascii="Arial Narrow" w:hAnsi="Arial Narrow" w:cs="Arial"/>
                <w:sz w:val="18"/>
                <w:szCs w:val="18"/>
              </w:rPr>
              <w:t>xUS</w:t>
            </w:r>
            <w:proofErr w:type="spellEnd"/>
            <w:r w:rsidRPr="001C277A">
              <w:rPr>
                <w:rFonts w:ascii="Arial Narrow" w:hAnsi="Arial Narrow" w:cs="Arial"/>
                <w:sz w:val="18"/>
                <w:szCs w:val="18"/>
              </w:rPr>
              <w:t xml:space="preserve"> TME NR USD</w:t>
            </w:r>
          </w:p>
        </w:tc>
        <w:tc>
          <w:tcPr>
            <w:tcW w:w="900" w:type="dxa"/>
            <w:gridSpan w:val="2"/>
            <w:tcBorders>
              <w:top w:val="nil"/>
              <w:left w:val="nil"/>
              <w:bottom w:val="nil"/>
              <w:right w:val="nil"/>
            </w:tcBorders>
            <w:shd w:val="clear" w:color="auto" w:fill="D9D9D9" w:themeFill="background1" w:themeFillShade="D9"/>
            <w:vAlign w:val="center"/>
          </w:tcPr>
          <w:p w14:paraId="0FFD89EC" w14:textId="276B709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13.74%</w:t>
            </w:r>
          </w:p>
        </w:tc>
        <w:tc>
          <w:tcPr>
            <w:tcW w:w="900" w:type="dxa"/>
            <w:tcBorders>
              <w:top w:val="nil"/>
              <w:left w:val="nil"/>
              <w:bottom w:val="nil"/>
              <w:right w:val="nil"/>
            </w:tcBorders>
            <w:shd w:val="clear" w:color="auto" w:fill="D9D9D9" w:themeFill="background1" w:themeFillShade="D9"/>
            <w:vAlign w:val="center"/>
          </w:tcPr>
          <w:p w14:paraId="0CA0D670" w14:textId="5FCBBDC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6.27%</w:t>
            </w:r>
          </w:p>
        </w:tc>
        <w:tc>
          <w:tcPr>
            <w:tcW w:w="783" w:type="dxa"/>
            <w:gridSpan w:val="2"/>
            <w:tcBorders>
              <w:top w:val="nil"/>
              <w:left w:val="nil"/>
              <w:bottom w:val="nil"/>
              <w:right w:val="nil"/>
            </w:tcBorders>
            <w:shd w:val="clear" w:color="auto" w:fill="D9D9D9" w:themeFill="background1" w:themeFillShade="D9"/>
            <w:vAlign w:val="center"/>
          </w:tcPr>
          <w:p w14:paraId="114F46E7" w14:textId="263C627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4.45%</w:t>
            </w:r>
          </w:p>
        </w:tc>
        <w:tc>
          <w:tcPr>
            <w:tcW w:w="1080" w:type="dxa"/>
            <w:gridSpan w:val="2"/>
            <w:tcBorders>
              <w:top w:val="nil"/>
              <w:left w:val="nil"/>
              <w:bottom w:val="nil"/>
              <w:right w:val="nil"/>
            </w:tcBorders>
            <w:shd w:val="clear" w:color="auto" w:fill="D9D9D9" w:themeFill="background1" w:themeFillShade="D9"/>
            <w:vAlign w:val="center"/>
          </w:tcPr>
          <w:p w14:paraId="295FD8F2" w14:textId="759A740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5D128B43" w14:textId="41611F1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D9D9D9" w:themeFill="background1" w:themeFillShade="D9"/>
            <w:vAlign w:val="center"/>
          </w:tcPr>
          <w:p w14:paraId="2B7570E4" w14:textId="45F3396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42D6B6B"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D9D9D9" w:themeFill="background1" w:themeFillShade="D9"/>
            <w:vAlign w:val="center"/>
          </w:tcPr>
          <w:p w14:paraId="2342778A" w14:textId="3D7EDD49"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D9D9D9" w:themeFill="background1" w:themeFillShade="D9"/>
            <w:vAlign w:val="center"/>
          </w:tcPr>
          <w:p w14:paraId="47F0A83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D9D9D9" w:themeFill="background1" w:themeFillShade="D9"/>
            <w:vAlign w:val="center"/>
          </w:tcPr>
          <w:p w14:paraId="76726A4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D9D9D9" w:themeFill="background1" w:themeFillShade="D9"/>
            <w:vAlign w:val="center"/>
          </w:tcPr>
          <w:p w14:paraId="1E64CC6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1C02BA14"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2FA9544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D9D9D9" w:themeFill="background1" w:themeFillShade="D9"/>
            <w:vAlign w:val="center"/>
          </w:tcPr>
          <w:p w14:paraId="0E1203E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33F91745" w14:textId="77777777" w:rsidTr="00167F99">
        <w:trPr>
          <w:gridBefore w:val="1"/>
          <w:wBefore w:w="25" w:type="dxa"/>
          <w:trHeight w:hRule="exact" w:val="450"/>
        </w:trPr>
        <w:tc>
          <w:tcPr>
            <w:tcW w:w="3960" w:type="dxa"/>
            <w:gridSpan w:val="2"/>
            <w:tcBorders>
              <w:top w:val="single" w:sz="4" w:space="0" w:color="auto"/>
              <w:left w:val="nil"/>
              <w:bottom w:val="nil"/>
              <w:right w:val="nil"/>
            </w:tcBorders>
            <w:shd w:val="clear" w:color="auto" w:fill="auto"/>
            <w:vAlign w:val="center"/>
          </w:tcPr>
          <w:p w14:paraId="67973794" w14:textId="75FE772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Russell 2000 Small-Cap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03/11)</w:t>
            </w:r>
          </w:p>
        </w:tc>
        <w:tc>
          <w:tcPr>
            <w:tcW w:w="900" w:type="dxa"/>
            <w:gridSpan w:val="2"/>
            <w:tcBorders>
              <w:top w:val="single" w:sz="4" w:space="0" w:color="auto"/>
              <w:left w:val="nil"/>
              <w:bottom w:val="nil"/>
              <w:right w:val="nil"/>
            </w:tcBorders>
            <w:shd w:val="clear" w:color="auto" w:fill="auto"/>
            <w:vAlign w:val="center"/>
          </w:tcPr>
          <w:p w14:paraId="2F3C1111" w14:textId="3E2DD8C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19.64%</w:t>
            </w:r>
          </w:p>
        </w:tc>
        <w:tc>
          <w:tcPr>
            <w:tcW w:w="900" w:type="dxa"/>
            <w:tcBorders>
              <w:top w:val="single" w:sz="4" w:space="0" w:color="auto"/>
              <w:left w:val="nil"/>
              <w:bottom w:val="nil"/>
              <w:right w:val="nil"/>
            </w:tcBorders>
            <w:shd w:val="clear" w:color="auto" w:fill="auto"/>
            <w:vAlign w:val="center"/>
          </w:tcPr>
          <w:p w14:paraId="2E678D06" w14:textId="7FE21A63"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8.14%</w:t>
            </w:r>
          </w:p>
        </w:tc>
        <w:tc>
          <w:tcPr>
            <w:tcW w:w="783" w:type="dxa"/>
            <w:gridSpan w:val="2"/>
            <w:tcBorders>
              <w:top w:val="single" w:sz="4" w:space="0" w:color="auto"/>
              <w:left w:val="nil"/>
              <w:bottom w:val="nil"/>
              <w:right w:val="nil"/>
            </w:tcBorders>
            <w:shd w:val="clear" w:color="auto" w:fill="auto"/>
            <w:vAlign w:val="center"/>
          </w:tcPr>
          <w:p w14:paraId="5599DC78" w14:textId="201B4ED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7.62%</w:t>
            </w:r>
          </w:p>
        </w:tc>
        <w:tc>
          <w:tcPr>
            <w:tcW w:w="1080" w:type="dxa"/>
            <w:gridSpan w:val="2"/>
            <w:tcBorders>
              <w:top w:val="single" w:sz="4" w:space="0" w:color="auto"/>
              <w:left w:val="nil"/>
              <w:bottom w:val="nil"/>
              <w:right w:val="nil"/>
            </w:tcBorders>
            <w:shd w:val="clear" w:color="auto" w:fill="auto"/>
            <w:vAlign w:val="center"/>
          </w:tcPr>
          <w:p w14:paraId="0AABD7C4" w14:textId="52AC3FC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8.87%</w:t>
            </w:r>
          </w:p>
        </w:tc>
        <w:tc>
          <w:tcPr>
            <w:tcW w:w="1080" w:type="dxa"/>
            <w:gridSpan w:val="2"/>
            <w:tcBorders>
              <w:top w:val="single" w:sz="4" w:space="0" w:color="auto"/>
              <w:left w:val="nil"/>
              <w:bottom w:val="nil"/>
              <w:right w:val="nil"/>
            </w:tcBorders>
            <w:shd w:val="clear" w:color="auto" w:fill="auto"/>
            <w:vAlign w:val="center"/>
          </w:tcPr>
          <w:p w14:paraId="7D812A74" w14:textId="3517C5E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0.07%</w:t>
            </w:r>
          </w:p>
        </w:tc>
        <w:tc>
          <w:tcPr>
            <w:tcW w:w="792" w:type="dxa"/>
            <w:gridSpan w:val="2"/>
            <w:tcBorders>
              <w:top w:val="single" w:sz="4" w:space="0" w:color="auto"/>
              <w:left w:val="nil"/>
              <w:bottom w:val="nil"/>
              <w:right w:val="nil"/>
            </w:tcBorders>
            <w:shd w:val="clear" w:color="auto" w:fill="auto"/>
            <w:vAlign w:val="center"/>
          </w:tcPr>
          <w:p w14:paraId="5F46A371" w14:textId="6C101E7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$0.70</w:t>
            </w:r>
          </w:p>
        </w:tc>
      </w:tr>
      <w:tr w:rsidR="00167F99" w:rsidRPr="001C277A" w14:paraId="13D205F6"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0E3247CE" w14:textId="7B3B659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 xml:space="preserve">Morningstar US </w:t>
            </w:r>
            <w:proofErr w:type="spellStart"/>
            <w:r w:rsidRPr="001C277A">
              <w:rPr>
                <w:rFonts w:ascii="Arial Narrow" w:hAnsi="Arial Narrow" w:cs="Arial"/>
                <w:sz w:val="18"/>
                <w:szCs w:val="18"/>
              </w:rPr>
              <w:t>Sml</w:t>
            </w:r>
            <w:proofErr w:type="spellEnd"/>
            <w:r w:rsidRPr="001C277A">
              <w:rPr>
                <w:rFonts w:ascii="Arial Narrow" w:hAnsi="Arial Narrow" w:cs="Arial"/>
                <w:sz w:val="18"/>
                <w:szCs w:val="18"/>
              </w:rPr>
              <w:t xml:space="preserve"> Ext TR USD</w:t>
            </w:r>
          </w:p>
        </w:tc>
        <w:tc>
          <w:tcPr>
            <w:tcW w:w="900" w:type="dxa"/>
            <w:gridSpan w:val="2"/>
            <w:tcBorders>
              <w:top w:val="nil"/>
              <w:left w:val="nil"/>
              <w:bottom w:val="nil"/>
              <w:right w:val="nil"/>
            </w:tcBorders>
            <w:shd w:val="clear" w:color="auto" w:fill="auto"/>
            <w:vAlign w:val="center"/>
          </w:tcPr>
          <w:p w14:paraId="39F96D46" w14:textId="30B526A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20.28%</w:t>
            </w:r>
          </w:p>
        </w:tc>
        <w:tc>
          <w:tcPr>
            <w:tcW w:w="900" w:type="dxa"/>
            <w:tcBorders>
              <w:top w:val="nil"/>
              <w:left w:val="nil"/>
              <w:bottom w:val="nil"/>
              <w:right w:val="nil"/>
            </w:tcBorders>
            <w:shd w:val="clear" w:color="auto" w:fill="auto"/>
            <w:vAlign w:val="center"/>
          </w:tcPr>
          <w:p w14:paraId="30E1DC30" w14:textId="30998601"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8.55%</w:t>
            </w:r>
          </w:p>
        </w:tc>
        <w:tc>
          <w:tcPr>
            <w:tcW w:w="783" w:type="dxa"/>
            <w:gridSpan w:val="2"/>
            <w:tcBorders>
              <w:top w:val="nil"/>
              <w:left w:val="nil"/>
              <w:bottom w:val="nil"/>
              <w:right w:val="nil"/>
            </w:tcBorders>
            <w:shd w:val="clear" w:color="auto" w:fill="auto"/>
            <w:vAlign w:val="center"/>
          </w:tcPr>
          <w:p w14:paraId="63C8FB65" w14:textId="0CB68EF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7.70%</w:t>
            </w:r>
          </w:p>
        </w:tc>
        <w:tc>
          <w:tcPr>
            <w:tcW w:w="1080" w:type="dxa"/>
            <w:gridSpan w:val="2"/>
            <w:tcBorders>
              <w:top w:val="nil"/>
              <w:left w:val="nil"/>
              <w:bottom w:val="nil"/>
              <w:right w:val="nil"/>
            </w:tcBorders>
            <w:shd w:val="clear" w:color="auto" w:fill="auto"/>
            <w:vAlign w:val="center"/>
          </w:tcPr>
          <w:p w14:paraId="3061495A" w14:textId="5297287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auto"/>
            <w:vAlign w:val="center"/>
          </w:tcPr>
          <w:p w14:paraId="1F47DE9C" w14:textId="0BF93B4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auto"/>
            <w:vAlign w:val="center"/>
          </w:tcPr>
          <w:p w14:paraId="2333C324" w14:textId="73649E0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204DBFC6"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auto"/>
            <w:vAlign w:val="center"/>
          </w:tcPr>
          <w:p w14:paraId="525B8226" w14:textId="61C2D0CA"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auto"/>
            <w:vAlign w:val="center"/>
          </w:tcPr>
          <w:p w14:paraId="1B9CD27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auto"/>
            <w:vAlign w:val="center"/>
          </w:tcPr>
          <w:p w14:paraId="6A42A67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auto"/>
            <w:vAlign w:val="center"/>
          </w:tcPr>
          <w:p w14:paraId="19FA47BB"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319E927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2B66E98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auto"/>
            <w:vAlign w:val="center"/>
          </w:tcPr>
          <w:p w14:paraId="2618CBC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3723606A"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D9D9D9" w:themeFill="background1" w:themeFillShade="D9"/>
            <w:vAlign w:val="center"/>
          </w:tcPr>
          <w:p w14:paraId="34AF7138" w14:textId="63368CAF"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iShares Russell Mid-Cap Index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05/15)</w:t>
            </w:r>
          </w:p>
        </w:tc>
        <w:tc>
          <w:tcPr>
            <w:tcW w:w="900" w:type="dxa"/>
            <w:gridSpan w:val="2"/>
            <w:tcBorders>
              <w:top w:val="single" w:sz="4" w:space="0" w:color="auto"/>
              <w:left w:val="nil"/>
              <w:bottom w:val="nil"/>
              <w:right w:val="nil"/>
            </w:tcBorders>
            <w:shd w:val="clear" w:color="auto" w:fill="D9D9D9" w:themeFill="background1" w:themeFillShade="D9"/>
            <w:vAlign w:val="center"/>
          </w:tcPr>
          <w:p w14:paraId="4997341B" w14:textId="3EC00F0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22.32%</w:t>
            </w:r>
          </w:p>
        </w:tc>
        <w:tc>
          <w:tcPr>
            <w:tcW w:w="900" w:type="dxa"/>
            <w:tcBorders>
              <w:top w:val="single" w:sz="4" w:space="0" w:color="auto"/>
              <w:left w:val="nil"/>
              <w:bottom w:val="nil"/>
              <w:right w:val="nil"/>
            </w:tcBorders>
            <w:shd w:val="clear" w:color="auto" w:fill="D9D9D9" w:themeFill="background1" w:themeFillShade="D9"/>
            <w:vAlign w:val="center"/>
          </w:tcPr>
          <w:p w14:paraId="48B6C394" w14:textId="690D909A"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11.10%</w:t>
            </w:r>
          </w:p>
        </w:tc>
        <w:tc>
          <w:tcPr>
            <w:tcW w:w="783" w:type="dxa"/>
            <w:gridSpan w:val="2"/>
            <w:tcBorders>
              <w:top w:val="single" w:sz="4" w:space="0" w:color="auto"/>
              <w:left w:val="nil"/>
              <w:bottom w:val="nil"/>
              <w:right w:val="nil"/>
            </w:tcBorders>
            <w:shd w:val="clear" w:color="auto" w:fill="D9D9D9" w:themeFill="background1" w:themeFillShade="D9"/>
            <w:vAlign w:val="center"/>
          </w:tcPr>
          <w:p w14:paraId="2679E174" w14:textId="487156F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2CCAED11" w14:textId="3F21EE3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9.73%</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7FF57B6A" w14:textId="13BD6FF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0.05%</w:t>
            </w:r>
          </w:p>
        </w:tc>
        <w:tc>
          <w:tcPr>
            <w:tcW w:w="792" w:type="dxa"/>
            <w:gridSpan w:val="2"/>
            <w:tcBorders>
              <w:top w:val="single" w:sz="4" w:space="0" w:color="auto"/>
              <w:left w:val="nil"/>
              <w:bottom w:val="nil"/>
              <w:right w:val="nil"/>
            </w:tcBorders>
            <w:shd w:val="clear" w:color="auto" w:fill="D9D9D9" w:themeFill="background1" w:themeFillShade="D9"/>
            <w:vAlign w:val="center"/>
          </w:tcPr>
          <w:p w14:paraId="078C9456" w14:textId="657CBCA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$0.50</w:t>
            </w:r>
          </w:p>
        </w:tc>
      </w:tr>
      <w:tr w:rsidR="00167F99" w:rsidRPr="001C277A" w14:paraId="57D91CDB"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4AEF5CD1" w14:textId="3F34EB41"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Mid TR USD</w:t>
            </w:r>
          </w:p>
        </w:tc>
        <w:tc>
          <w:tcPr>
            <w:tcW w:w="900" w:type="dxa"/>
            <w:gridSpan w:val="2"/>
            <w:tcBorders>
              <w:top w:val="nil"/>
              <w:left w:val="nil"/>
              <w:bottom w:val="nil"/>
              <w:right w:val="nil"/>
            </w:tcBorders>
            <w:shd w:val="clear" w:color="auto" w:fill="D9D9D9" w:themeFill="background1" w:themeFillShade="D9"/>
            <w:vAlign w:val="center"/>
          </w:tcPr>
          <w:p w14:paraId="5BC898F6" w14:textId="6C31F37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22.06%</w:t>
            </w:r>
          </w:p>
        </w:tc>
        <w:tc>
          <w:tcPr>
            <w:tcW w:w="900" w:type="dxa"/>
            <w:tcBorders>
              <w:top w:val="nil"/>
              <w:left w:val="nil"/>
              <w:bottom w:val="nil"/>
              <w:right w:val="nil"/>
            </w:tcBorders>
            <w:shd w:val="clear" w:color="auto" w:fill="D9D9D9" w:themeFill="background1" w:themeFillShade="D9"/>
            <w:vAlign w:val="center"/>
          </w:tcPr>
          <w:p w14:paraId="39A109CE" w14:textId="535596F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11.77%</w:t>
            </w:r>
          </w:p>
        </w:tc>
        <w:tc>
          <w:tcPr>
            <w:tcW w:w="783" w:type="dxa"/>
            <w:gridSpan w:val="2"/>
            <w:tcBorders>
              <w:top w:val="nil"/>
              <w:left w:val="nil"/>
              <w:bottom w:val="nil"/>
              <w:right w:val="nil"/>
            </w:tcBorders>
            <w:shd w:val="clear" w:color="auto" w:fill="D9D9D9" w:themeFill="background1" w:themeFillShade="D9"/>
            <w:vAlign w:val="center"/>
          </w:tcPr>
          <w:p w14:paraId="72020803" w14:textId="158E267A"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10.57%</w:t>
            </w:r>
          </w:p>
        </w:tc>
        <w:tc>
          <w:tcPr>
            <w:tcW w:w="1080" w:type="dxa"/>
            <w:gridSpan w:val="2"/>
            <w:tcBorders>
              <w:top w:val="nil"/>
              <w:left w:val="nil"/>
              <w:bottom w:val="nil"/>
              <w:right w:val="nil"/>
            </w:tcBorders>
            <w:shd w:val="clear" w:color="auto" w:fill="D9D9D9" w:themeFill="background1" w:themeFillShade="D9"/>
            <w:vAlign w:val="center"/>
          </w:tcPr>
          <w:p w14:paraId="52FA55AC" w14:textId="0966E38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68B5879D" w14:textId="4B325C6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D9D9D9" w:themeFill="background1" w:themeFillShade="D9"/>
            <w:vAlign w:val="center"/>
          </w:tcPr>
          <w:p w14:paraId="172093F7" w14:textId="66107A8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8538A97"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D9D9D9" w:themeFill="background1" w:themeFillShade="D9"/>
            <w:vAlign w:val="center"/>
          </w:tcPr>
          <w:p w14:paraId="744AB45A" w14:textId="77F89E91"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D9D9D9" w:themeFill="background1" w:themeFillShade="D9"/>
            <w:vAlign w:val="center"/>
          </w:tcPr>
          <w:p w14:paraId="70F5E97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D9D9D9" w:themeFill="background1" w:themeFillShade="D9"/>
            <w:vAlign w:val="center"/>
          </w:tcPr>
          <w:p w14:paraId="25095A8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D9D9D9" w:themeFill="background1" w:themeFillShade="D9"/>
            <w:vAlign w:val="center"/>
          </w:tcPr>
          <w:p w14:paraId="72E3F6F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2E8550F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4B8016A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D9D9D9" w:themeFill="background1" w:themeFillShade="D9"/>
            <w:vAlign w:val="center"/>
          </w:tcPr>
          <w:p w14:paraId="0BF104D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44D469A1"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auto"/>
            <w:vAlign w:val="center"/>
          </w:tcPr>
          <w:p w14:paraId="09A4B179" w14:textId="23E51849"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Russell Small/Mid-Cap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08/15)</w:t>
            </w:r>
          </w:p>
        </w:tc>
        <w:tc>
          <w:tcPr>
            <w:tcW w:w="900" w:type="dxa"/>
            <w:gridSpan w:val="2"/>
            <w:tcBorders>
              <w:top w:val="single" w:sz="4" w:space="0" w:color="auto"/>
              <w:left w:val="nil"/>
              <w:bottom w:val="nil"/>
              <w:right w:val="nil"/>
            </w:tcBorders>
            <w:shd w:val="clear" w:color="auto" w:fill="auto"/>
            <w:vAlign w:val="center"/>
          </w:tcPr>
          <w:p w14:paraId="0E392C67" w14:textId="26E1775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21.27%</w:t>
            </w:r>
          </w:p>
        </w:tc>
        <w:tc>
          <w:tcPr>
            <w:tcW w:w="900" w:type="dxa"/>
            <w:tcBorders>
              <w:top w:val="single" w:sz="4" w:space="0" w:color="auto"/>
              <w:left w:val="nil"/>
              <w:bottom w:val="nil"/>
              <w:right w:val="nil"/>
            </w:tcBorders>
            <w:shd w:val="clear" w:color="auto" w:fill="auto"/>
            <w:vAlign w:val="center"/>
          </w:tcPr>
          <w:p w14:paraId="42691CCC" w14:textId="32AC481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9.90%</w:t>
            </w:r>
          </w:p>
        </w:tc>
        <w:tc>
          <w:tcPr>
            <w:tcW w:w="783" w:type="dxa"/>
            <w:gridSpan w:val="2"/>
            <w:tcBorders>
              <w:top w:val="single" w:sz="4" w:space="0" w:color="auto"/>
              <w:left w:val="nil"/>
              <w:bottom w:val="nil"/>
              <w:right w:val="nil"/>
            </w:tcBorders>
            <w:shd w:val="clear" w:color="auto" w:fill="auto"/>
            <w:vAlign w:val="center"/>
          </w:tcPr>
          <w:p w14:paraId="55828C7C" w14:textId="1657052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single" w:sz="4" w:space="0" w:color="auto"/>
              <w:left w:val="nil"/>
              <w:bottom w:val="nil"/>
              <w:right w:val="nil"/>
            </w:tcBorders>
            <w:shd w:val="clear" w:color="auto" w:fill="auto"/>
            <w:vAlign w:val="center"/>
          </w:tcPr>
          <w:p w14:paraId="0C544ABD" w14:textId="236E999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9.37%</w:t>
            </w:r>
          </w:p>
        </w:tc>
        <w:tc>
          <w:tcPr>
            <w:tcW w:w="1080" w:type="dxa"/>
            <w:gridSpan w:val="2"/>
            <w:tcBorders>
              <w:top w:val="single" w:sz="4" w:space="0" w:color="auto"/>
              <w:left w:val="nil"/>
              <w:bottom w:val="nil"/>
              <w:right w:val="nil"/>
            </w:tcBorders>
            <w:shd w:val="clear" w:color="auto" w:fill="auto"/>
            <w:vAlign w:val="center"/>
          </w:tcPr>
          <w:p w14:paraId="18C3F866" w14:textId="6507149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0.09%</w:t>
            </w:r>
          </w:p>
        </w:tc>
        <w:tc>
          <w:tcPr>
            <w:tcW w:w="792" w:type="dxa"/>
            <w:gridSpan w:val="2"/>
            <w:tcBorders>
              <w:top w:val="single" w:sz="4" w:space="0" w:color="auto"/>
              <w:left w:val="nil"/>
              <w:bottom w:val="nil"/>
              <w:right w:val="nil"/>
            </w:tcBorders>
            <w:shd w:val="clear" w:color="auto" w:fill="auto"/>
            <w:vAlign w:val="center"/>
          </w:tcPr>
          <w:p w14:paraId="311D1C53" w14:textId="5BACC8E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$0.90</w:t>
            </w:r>
          </w:p>
        </w:tc>
      </w:tr>
      <w:tr w:rsidR="00167F99" w:rsidRPr="001C277A" w14:paraId="63361456"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62D7997D" w14:textId="2CB7231A"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 xml:space="preserve">Morningstar US </w:t>
            </w:r>
            <w:proofErr w:type="spellStart"/>
            <w:r w:rsidRPr="001C277A">
              <w:rPr>
                <w:rFonts w:ascii="Arial Narrow" w:hAnsi="Arial Narrow" w:cs="Arial"/>
                <w:sz w:val="18"/>
                <w:szCs w:val="18"/>
              </w:rPr>
              <w:t>Sml</w:t>
            </w:r>
            <w:proofErr w:type="spellEnd"/>
            <w:r w:rsidRPr="001C277A">
              <w:rPr>
                <w:rFonts w:ascii="Arial Narrow" w:hAnsi="Arial Narrow" w:cs="Arial"/>
                <w:sz w:val="18"/>
                <w:szCs w:val="18"/>
              </w:rPr>
              <w:t xml:space="preserve"> Ext TR USD</w:t>
            </w:r>
          </w:p>
        </w:tc>
        <w:tc>
          <w:tcPr>
            <w:tcW w:w="900" w:type="dxa"/>
            <w:gridSpan w:val="2"/>
            <w:tcBorders>
              <w:top w:val="nil"/>
              <w:left w:val="nil"/>
              <w:bottom w:val="nil"/>
              <w:right w:val="nil"/>
            </w:tcBorders>
            <w:shd w:val="clear" w:color="auto" w:fill="auto"/>
            <w:vAlign w:val="center"/>
          </w:tcPr>
          <w:p w14:paraId="04284A3F" w14:textId="08CA599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20.28%</w:t>
            </w:r>
          </w:p>
        </w:tc>
        <w:tc>
          <w:tcPr>
            <w:tcW w:w="900" w:type="dxa"/>
            <w:tcBorders>
              <w:top w:val="nil"/>
              <w:left w:val="nil"/>
              <w:bottom w:val="nil"/>
              <w:right w:val="nil"/>
            </w:tcBorders>
            <w:shd w:val="clear" w:color="auto" w:fill="auto"/>
            <w:vAlign w:val="center"/>
          </w:tcPr>
          <w:p w14:paraId="18B513B4" w14:textId="55DBB1B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8.55%</w:t>
            </w:r>
          </w:p>
        </w:tc>
        <w:tc>
          <w:tcPr>
            <w:tcW w:w="783" w:type="dxa"/>
            <w:gridSpan w:val="2"/>
            <w:tcBorders>
              <w:top w:val="nil"/>
              <w:left w:val="nil"/>
              <w:bottom w:val="nil"/>
              <w:right w:val="nil"/>
            </w:tcBorders>
            <w:shd w:val="clear" w:color="auto" w:fill="auto"/>
            <w:vAlign w:val="center"/>
          </w:tcPr>
          <w:p w14:paraId="75C1986F" w14:textId="683DE51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7.70%</w:t>
            </w:r>
          </w:p>
        </w:tc>
        <w:tc>
          <w:tcPr>
            <w:tcW w:w="1080" w:type="dxa"/>
            <w:gridSpan w:val="2"/>
            <w:tcBorders>
              <w:top w:val="nil"/>
              <w:left w:val="nil"/>
              <w:bottom w:val="nil"/>
              <w:right w:val="nil"/>
            </w:tcBorders>
            <w:shd w:val="clear" w:color="auto" w:fill="auto"/>
            <w:vAlign w:val="center"/>
          </w:tcPr>
          <w:p w14:paraId="1F01D56F" w14:textId="2989955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auto"/>
            <w:vAlign w:val="center"/>
          </w:tcPr>
          <w:p w14:paraId="2465C796" w14:textId="1E3408F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auto"/>
            <w:vAlign w:val="center"/>
          </w:tcPr>
          <w:p w14:paraId="6FA68B2C" w14:textId="4D48F96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5903FB5"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auto"/>
            <w:vAlign w:val="center"/>
          </w:tcPr>
          <w:p w14:paraId="28616158" w14:textId="79E8E1AF"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auto"/>
            <w:vAlign w:val="center"/>
          </w:tcPr>
          <w:p w14:paraId="3AE035F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auto"/>
            <w:vAlign w:val="center"/>
          </w:tcPr>
          <w:p w14:paraId="468281F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auto"/>
            <w:vAlign w:val="center"/>
          </w:tcPr>
          <w:p w14:paraId="17C0E70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5E6AD80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auto"/>
            <w:vAlign w:val="center"/>
          </w:tcPr>
          <w:p w14:paraId="43EE1CA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auto"/>
            <w:vAlign w:val="center"/>
          </w:tcPr>
          <w:p w14:paraId="20CEB8B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36A2F684"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D9D9D9" w:themeFill="background1" w:themeFillShade="D9"/>
            <w:vAlign w:val="center"/>
          </w:tcPr>
          <w:p w14:paraId="6A50EDA1" w14:textId="24D7F7ED"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iShares S&amp;P 500 Index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07/93)</w:t>
            </w:r>
          </w:p>
        </w:tc>
        <w:tc>
          <w:tcPr>
            <w:tcW w:w="900" w:type="dxa"/>
            <w:gridSpan w:val="2"/>
            <w:tcBorders>
              <w:top w:val="single" w:sz="4" w:space="0" w:color="auto"/>
              <w:left w:val="nil"/>
              <w:bottom w:val="nil"/>
              <w:right w:val="nil"/>
            </w:tcBorders>
            <w:shd w:val="clear" w:color="auto" w:fill="D9D9D9" w:themeFill="background1" w:themeFillShade="D9"/>
            <w:vAlign w:val="center"/>
          </w:tcPr>
          <w:p w14:paraId="3DB937BE" w14:textId="0C4F0E0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29.82%</w:t>
            </w:r>
          </w:p>
        </w:tc>
        <w:tc>
          <w:tcPr>
            <w:tcW w:w="900" w:type="dxa"/>
            <w:tcBorders>
              <w:top w:val="single" w:sz="4" w:space="0" w:color="auto"/>
              <w:left w:val="nil"/>
              <w:bottom w:val="nil"/>
              <w:right w:val="nil"/>
            </w:tcBorders>
            <w:shd w:val="clear" w:color="auto" w:fill="D9D9D9" w:themeFill="background1" w:themeFillShade="D9"/>
            <w:vAlign w:val="center"/>
          </w:tcPr>
          <w:p w14:paraId="059C5057" w14:textId="4FD8D3B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15.02%</w:t>
            </w:r>
          </w:p>
        </w:tc>
        <w:tc>
          <w:tcPr>
            <w:tcW w:w="783" w:type="dxa"/>
            <w:gridSpan w:val="2"/>
            <w:tcBorders>
              <w:top w:val="single" w:sz="4" w:space="0" w:color="auto"/>
              <w:left w:val="nil"/>
              <w:bottom w:val="nil"/>
              <w:right w:val="nil"/>
            </w:tcBorders>
            <w:shd w:val="clear" w:color="auto" w:fill="D9D9D9" w:themeFill="background1" w:themeFillShade="D9"/>
            <w:vAlign w:val="center"/>
          </w:tcPr>
          <w:p w14:paraId="58C2C4B0" w14:textId="4C3FED4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12.93%</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43007EC9" w14:textId="4B7E7AA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10.30%</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050CBF9D" w14:textId="4E3566C3"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0.03%</w:t>
            </w:r>
          </w:p>
        </w:tc>
        <w:tc>
          <w:tcPr>
            <w:tcW w:w="792" w:type="dxa"/>
            <w:gridSpan w:val="2"/>
            <w:tcBorders>
              <w:top w:val="single" w:sz="4" w:space="0" w:color="auto"/>
              <w:left w:val="nil"/>
              <w:bottom w:val="nil"/>
              <w:right w:val="nil"/>
            </w:tcBorders>
            <w:shd w:val="clear" w:color="auto" w:fill="D9D9D9" w:themeFill="background1" w:themeFillShade="D9"/>
            <w:vAlign w:val="center"/>
          </w:tcPr>
          <w:p w14:paraId="551F8E4D" w14:textId="71B422D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$0.30</w:t>
            </w:r>
          </w:p>
        </w:tc>
      </w:tr>
      <w:tr w:rsidR="00167F99" w:rsidRPr="001C277A" w14:paraId="103F70F8"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17FEEA26" w14:textId="6CDD9A01"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LM TR USD</w:t>
            </w:r>
          </w:p>
        </w:tc>
        <w:tc>
          <w:tcPr>
            <w:tcW w:w="900" w:type="dxa"/>
            <w:gridSpan w:val="2"/>
            <w:tcBorders>
              <w:top w:val="nil"/>
              <w:left w:val="nil"/>
              <w:bottom w:val="nil"/>
              <w:right w:val="nil"/>
            </w:tcBorders>
            <w:shd w:val="clear" w:color="auto" w:fill="D9D9D9" w:themeFill="background1" w:themeFillShade="D9"/>
            <w:vAlign w:val="center"/>
          </w:tcPr>
          <w:p w14:paraId="29697059" w14:textId="0C6A163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30.39%</w:t>
            </w:r>
          </w:p>
        </w:tc>
        <w:tc>
          <w:tcPr>
            <w:tcW w:w="900" w:type="dxa"/>
            <w:tcBorders>
              <w:top w:val="nil"/>
              <w:left w:val="nil"/>
              <w:bottom w:val="nil"/>
              <w:right w:val="nil"/>
            </w:tcBorders>
            <w:shd w:val="clear" w:color="auto" w:fill="D9D9D9" w:themeFill="background1" w:themeFillShade="D9"/>
            <w:vAlign w:val="center"/>
          </w:tcPr>
          <w:p w14:paraId="4D07D72E" w14:textId="5CE4285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14.83%</w:t>
            </w:r>
          </w:p>
        </w:tc>
        <w:tc>
          <w:tcPr>
            <w:tcW w:w="783" w:type="dxa"/>
            <w:gridSpan w:val="2"/>
            <w:tcBorders>
              <w:top w:val="nil"/>
              <w:left w:val="nil"/>
              <w:bottom w:val="nil"/>
              <w:right w:val="nil"/>
            </w:tcBorders>
            <w:shd w:val="clear" w:color="auto" w:fill="D9D9D9" w:themeFill="background1" w:themeFillShade="D9"/>
            <w:vAlign w:val="center"/>
          </w:tcPr>
          <w:p w14:paraId="40D6D92D" w14:textId="37ED111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12.71%</w:t>
            </w:r>
          </w:p>
        </w:tc>
        <w:tc>
          <w:tcPr>
            <w:tcW w:w="1080" w:type="dxa"/>
            <w:gridSpan w:val="2"/>
            <w:tcBorders>
              <w:top w:val="nil"/>
              <w:left w:val="nil"/>
              <w:bottom w:val="nil"/>
              <w:right w:val="nil"/>
            </w:tcBorders>
            <w:shd w:val="clear" w:color="auto" w:fill="D9D9D9" w:themeFill="background1" w:themeFillShade="D9"/>
            <w:vAlign w:val="center"/>
          </w:tcPr>
          <w:p w14:paraId="0D56688B" w14:textId="1CB6482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46F56421" w14:textId="17FA9FA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D9D9D9" w:themeFill="background1" w:themeFillShade="D9"/>
            <w:vAlign w:val="center"/>
          </w:tcPr>
          <w:p w14:paraId="4F0F1257" w14:textId="04CB152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66BFD9BA"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D9D9D9" w:themeFill="background1" w:themeFillShade="D9"/>
            <w:vAlign w:val="center"/>
          </w:tcPr>
          <w:p w14:paraId="51310437" w14:textId="6910A4F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D9D9D9" w:themeFill="background1" w:themeFillShade="D9"/>
            <w:vAlign w:val="center"/>
          </w:tcPr>
          <w:p w14:paraId="607B840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D9D9D9" w:themeFill="background1" w:themeFillShade="D9"/>
            <w:vAlign w:val="center"/>
          </w:tcPr>
          <w:p w14:paraId="7D84D66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D9D9D9" w:themeFill="background1" w:themeFillShade="D9"/>
            <w:vAlign w:val="center"/>
          </w:tcPr>
          <w:p w14:paraId="6C225A2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7CE871A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7C5E54B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D9D9D9" w:themeFill="background1" w:themeFillShade="D9"/>
            <w:vAlign w:val="center"/>
          </w:tcPr>
          <w:p w14:paraId="49E4B9F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300B1BAF"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auto"/>
            <w:vAlign w:val="center"/>
          </w:tcPr>
          <w:p w14:paraId="2EBD438A" w14:textId="3531D321"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Total US Stock Market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08/15)</w:t>
            </w:r>
          </w:p>
        </w:tc>
        <w:tc>
          <w:tcPr>
            <w:tcW w:w="900" w:type="dxa"/>
            <w:gridSpan w:val="2"/>
            <w:tcBorders>
              <w:top w:val="single" w:sz="4" w:space="0" w:color="auto"/>
              <w:left w:val="nil"/>
              <w:bottom w:val="nil"/>
              <w:right w:val="nil"/>
            </w:tcBorders>
            <w:shd w:val="clear" w:color="auto" w:fill="auto"/>
            <w:vAlign w:val="center"/>
          </w:tcPr>
          <w:p w14:paraId="2DD4BE88" w14:textId="537D689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29.32%</w:t>
            </w:r>
          </w:p>
        </w:tc>
        <w:tc>
          <w:tcPr>
            <w:tcW w:w="900" w:type="dxa"/>
            <w:tcBorders>
              <w:top w:val="single" w:sz="4" w:space="0" w:color="auto"/>
              <w:left w:val="nil"/>
              <w:bottom w:val="nil"/>
              <w:right w:val="nil"/>
            </w:tcBorders>
            <w:shd w:val="clear" w:color="auto" w:fill="auto"/>
            <w:vAlign w:val="center"/>
          </w:tcPr>
          <w:p w14:paraId="559E2020" w14:textId="0D21326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14.36%</w:t>
            </w:r>
          </w:p>
        </w:tc>
        <w:tc>
          <w:tcPr>
            <w:tcW w:w="783" w:type="dxa"/>
            <w:gridSpan w:val="2"/>
            <w:tcBorders>
              <w:top w:val="single" w:sz="4" w:space="0" w:color="auto"/>
              <w:left w:val="nil"/>
              <w:bottom w:val="nil"/>
              <w:right w:val="nil"/>
            </w:tcBorders>
            <w:shd w:val="clear" w:color="auto" w:fill="auto"/>
            <w:vAlign w:val="center"/>
          </w:tcPr>
          <w:p w14:paraId="2E4358B9" w14:textId="4D978E4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single" w:sz="4" w:space="0" w:color="auto"/>
              <w:left w:val="nil"/>
              <w:bottom w:val="nil"/>
              <w:right w:val="nil"/>
            </w:tcBorders>
            <w:shd w:val="clear" w:color="auto" w:fill="auto"/>
            <w:vAlign w:val="center"/>
          </w:tcPr>
          <w:p w14:paraId="68AF76AA" w14:textId="4A3B2DF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12.80%</w:t>
            </w:r>
          </w:p>
        </w:tc>
        <w:tc>
          <w:tcPr>
            <w:tcW w:w="1080" w:type="dxa"/>
            <w:gridSpan w:val="2"/>
            <w:tcBorders>
              <w:top w:val="single" w:sz="4" w:space="0" w:color="auto"/>
              <w:left w:val="nil"/>
              <w:bottom w:val="nil"/>
              <w:right w:val="nil"/>
            </w:tcBorders>
            <w:shd w:val="clear" w:color="auto" w:fill="auto"/>
            <w:vAlign w:val="center"/>
          </w:tcPr>
          <w:p w14:paraId="2E684036" w14:textId="5B5F183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0.02%</w:t>
            </w:r>
          </w:p>
        </w:tc>
        <w:tc>
          <w:tcPr>
            <w:tcW w:w="792" w:type="dxa"/>
            <w:gridSpan w:val="2"/>
            <w:tcBorders>
              <w:top w:val="single" w:sz="4" w:space="0" w:color="auto"/>
              <w:left w:val="nil"/>
              <w:bottom w:val="nil"/>
              <w:right w:val="nil"/>
            </w:tcBorders>
            <w:shd w:val="clear" w:color="auto" w:fill="auto"/>
            <w:vAlign w:val="center"/>
          </w:tcPr>
          <w:p w14:paraId="70741308" w14:textId="6A31251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$0.20</w:t>
            </w:r>
          </w:p>
        </w:tc>
      </w:tr>
      <w:tr w:rsidR="00167F99" w:rsidRPr="001C277A" w14:paraId="259F2792"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2B7F98CB" w14:textId="65BDDADD"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LM TR USD</w:t>
            </w:r>
          </w:p>
        </w:tc>
        <w:tc>
          <w:tcPr>
            <w:tcW w:w="900" w:type="dxa"/>
            <w:gridSpan w:val="2"/>
            <w:tcBorders>
              <w:top w:val="nil"/>
              <w:left w:val="nil"/>
              <w:bottom w:val="nil"/>
              <w:right w:val="nil"/>
            </w:tcBorders>
            <w:shd w:val="clear" w:color="auto" w:fill="auto"/>
            <w:vAlign w:val="center"/>
          </w:tcPr>
          <w:p w14:paraId="59157B7C" w14:textId="3F822D6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30.39%</w:t>
            </w:r>
          </w:p>
        </w:tc>
        <w:tc>
          <w:tcPr>
            <w:tcW w:w="900" w:type="dxa"/>
            <w:tcBorders>
              <w:top w:val="nil"/>
              <w:left w:val="nil"/>
              <w:bottom w:val="nil"/>
              <w:right w:val="nil"/>
            </w:tcBorders>
            <w:shd w:val="clear" w:color="auto" w:fill="auto"/>
            <w:vAlign w:val="center"/>
          </w:tcPr>
          <w:p w14:paraId="282F38C9" w14:textId="0015599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14.83%</w:t>
            </w:r>
          </w:p>
        </w:tc>
        <w:tc>
          <w:tcPr>
            <w:tcW w:w="783" w:type="dxa"/>
            <w:gridSpan w:val="2"/>
            <w:tcBorders>
              <w:top w:val="nil"/>
              <w:left w:val="nil"/>
              <w:bottom w:val="nil"/>
              <w:right w:val="nil"/>
            </w:tcBorders>
            <w:shd w:val="clear" w:color="auto" w:fill="auto"/>
            <w:vAlign w:val="center"/>
          </w:tcPr>
          <w:p w14:paraId="36A250B6" w14:textId="4E1B733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12.71%</w:t>
            </w:r>
          </w:p>
        </w:tc>
        <w:tc>
          <w:tcPr>
            <w:tcW w:w="1080" w:type="dxa"/>
            <w:gridSpan w:val="2"/>
            <w:tcBorders>
              <w:top w:val="nil"/>
              <w:left w:val="nil"/>
              <w:bottom w:val="nil"/>
              <w:right w:val="nil"/>
            </w:tcBorders>
            <w:shd w:val="clear" w:color="auto" w:fill="auto"/>
            <w:vAlign w:val="center"/>
          </w:tcPr>
          <w:p w14:paraId="0BFF19DB" w14:textId="0E1ED72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auto"/>
            <w:vAlign w:val="center"/>
          </w:tcPr>
          <w:p w14:paraId="548FA1D3" w14:textId="5030A4B2"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auto"/>
            <w:vAlign w:val="center"/>
          </w:tcPr>
          <w:p w14:paraId="25400F7E" w14:textId="752B1CF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5CFFEA38"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716AA709" w14:textId="60C9590F"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nil"/>
              <w:right w:val="nil"/>
            </w:tcBorders>
            <w:shd w:val="clear" w:color="auto" w:fill="auto"/>
            <w:vAlign w:val="center"/>
          </w:tcPr>
          <w:p w14:paraId="2396E647"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nil"/>
              <w:right w:val="nil"/>
            </w:tcBorders>
            <w:shd w:val="clear" w:color="auto" w:fill="auto"/>
            <w:vAlign w:val="center"/>
          </w:tcPr>
          <w:p w14:paraId="6F0CFBBF"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nil"/>
              <w:right w:val="nil"/>
            </w:tcBorders>
            <w:shd w:val="clear" w:color="auto" w:fill="auto"/>
            <w:vAlign w:val="center"/>
          </w:tcPr>
          <w:p w14:paraId="6022B2F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nil"/>
              <w:right w:val="nil"/>
            </w:tcBorders>
            <w:shd w:val="clear" w:color="auto" w:fill="auto"/>
            <w:vAlign w:val="center"/>
          </w:tcPr>
          <w:p w14:paraId="2E379866"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nil"/>
              <w:right w:val="nil"/>
            </w:tcBorders>
            <w:shd w:val="clear" w:color="auto" w:fill="auto"/>
            <w:vAlign w:val="center"/>
          </w:tcPr>
          <w:p w14:paraId="25DE5A8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nil"/>
              <w:right w:val="nil"/>
            </w:tcBorders>
            <w:shd w:val="clear" w:color="auto" w:fill="auto"/>
            <w:vAlign w:val="center"/>
          </w:tcPr>
          <w:p w14:paraId="5E43758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109E4F58" w14:textId="77777777" w:rsidTr="00167F99">
        <w:trPr>
          <w:gridBefore w:val="1"/>
          <w:wBefore w:w="25" w:type="dxa"/>
          <w:trHeight w:hRule="exact" w:val="320"/>
        </w:trPr>
        <w:tc>
          <w:tcPr>
            <w:tcW w:w="3960" w:type="dxa"/>
            <w:gridSpan w:val="2"/>
            <w:tcBorders>
              <w:top w:val="nil"/>
              <w:left w:val="nil"/>
              <w:bottom w:val="single" w:sz="4" w:space="0" w:color="auto"/>
              <w:right w:val="nil"/>
            </w:tcBorders>
            <w:shd w:val="clear" w:color="auto" w:fill="000000"/>
            <w:vAlign w:val="center"/>
          </w:tcPr>
          <w:p w14:paraId="3494CEDD" w14:textId="2456ADE6"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r w:rsidRPr="001C277A">
              <w:rPr>
                <w:rFonts w:ascii="Arial Narrow" w:hAnsi="Arial Narrow" w:cs="Arial"/>
                <w:b/>
                <w:color w:val="FFFFFF"/>
                <w:sz w:val="18"/>
                <w:szCs w:val="18"/>
              </w:rPr>
              <w:t>Bond Funds</w:t>
            </w:r>
          </w:p>
        </w:tc>
        <w:tc>
          <w:tcPr>
            <w:tcW w:w="900" w:type="dxa"/>
            <w:gridSpan w:val="2"/>
            <w:tcBorders>
              <w:top w:val="nil"/>
              <w:left w:val="nil"/>
              <w:bottom w:val="single" w:sz="4" w:space="0" w:color="auto"/>
              <w:right w:val="nil"/>
            </w:tcBorders>
            <w:shd w:val="clear" w:color="auto" w:fill="000000"/>
            <w:vAlign w:val="center"/>
          </w:tcPr>
          <w:p w14:paraId="4BD0C176"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900" w:type="dxa"/>
            <w:tcBorders>
              <w:top w:val="nil"/>
              <w:left w:val="nil"/>
              <w:bottom w:val="single" w:sz="4" w:space="0" w:color="auto"/>
              <w:right w:val="nil"/>
            </w:tcBorders>
            <w:shd w:val="clear" w:color="auto" w:fill="000000"/>
            <w:vAlign w:val="center"/>
          </w:tcPr>
          <w:p w14:paraId="229AA928"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83" w:type="dxa"/>
            <w:gridSpan w:val="2"/>
            <w:tcBorders>
              <w:top w:val="nil"/>
              <w:left w:val="nil"/>
              <w:bottom w:val="single" w:sz="4" w:space="0" w:color="auto"/>
              <w:right w:val="nil"/>
            </w:tcBorders>
            <w:shd w:val="clear" w:color="auto" w:fill="000000"/>
            <w:vAlign w:val="center"/>
          </w:tcPr>
          <w:p w14:paraId="22581C7B"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top w:val="nil"/>
              <w:left w:val="nil"/>
              <w:bottom w:val="single" w:sz="4" w:space="0" w:color="auto"/>
              <w:right w:val="nil"/>
            </w:tcBorders>
            <w:shd w:val="clear" w:color="auto" w:fill="000000"/>
            <w:vAlign w:val="center"/>
          </w:tcPr>
          <w:p w14:paraId="29494FF6"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top w:val="nil"/>
              <w:left w:val="nil"/>
              <w:bottom w:val="single" w:sz="4" w:space="0" w:color="auto"/>
              <w:right w:val="nil"/>
            </w:tcBorders>
            <w:shd w:val="clear" w:color="auto" w:fill="000000"/>
            <w:vAlign w:val="center"/>
          </w:tcPr>
          <w:p w14:paraId="7C8D4976"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92" w:type="dxa"/>
            <w:gridSpan w:val="2"/>
            <w:tcBorders>
              <w:top w:val="nil"/>
              <w:left w:val="nil"/>
              <w:bottom w:val="single" w:sz="4" w:space="0" w:color="auto"/>
              <w:right w:val="nil"/>
            </w:tcBorders>
            <w:shd w:val="clear" w:color="auto" w:fill="000000"/>
            <w:vAlign w:val="center"/>
          </w:tcPr>
          <w:p w14:paraId="53481D71"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r>
      <w:tr w:rsidR="00167F99" w:rsidRPr="001C277A" w14:paraId="4F515FE6"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D9D9D9" w:themeFill="background1" w:themeFillShade="D9"/>
            <w:vAlign w:val="center"/>
          </w:tcPr>
          <w:p w14:paraId="2AECF2BB" w14:textId="7FD8E3E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Short-Term TIPS Bond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02/16)</w:t>
            </w:r>
          </w:p>
        </w:tc>
        <w:tc>
          <w:tcPr>
            <w:tcW w:w="900" w:type="dxa"/>
            <w:gridSpan w:val="2"/>
            <w:tcBorders>
              <w:top w:val="single" w:sz="4" w:space="0" w:color="auto"/>
              <w:left w:val="nil"/>
              <w:bottom w:val="nil"/>
              <w:right w:val="nil"/>
            </w:tcBorders>
            <w:shd w:val="clear" w:color="auto" w:fill="D9D9D9" w:themeFill="background1" w:themeFillShade="D9"/>
            <w:vAlign w:val="center"/>
          </w:tcPr>
          <w:p w14:paraId="5F28CB58" w14:textId="3EABFD9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3.12%</w:t>
            </w:r>
          </w:p>
        </w:tc>
        <w:tc>
          <w:tcPr>
            <w:tcW w:w="900" w:type="dxa"/>
            <w:tcBorders>
              <w:top w:val="single" w:sz="4" w:space="0" w:color="auto"/>
              <w:left w:val="nil"/>
              <w:bottom w:val="nil"/>
              <w:right w:val="nil"/>
            </w:tcBorders>
            <w:shd w:val="clear" w:color="auto" w:fill="D9D9D9" w:themeFill="background1" w:themeFillShade="D9"/>
            <w:vAlign w:val="center"/>
          </w:tcPr>
          <w:p w14:paraId="3B0DDFE3" w14:textId="672C809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3.10%</w:t>
            </w:r>
          </w:p>
        </w:tc>
        <w:tc>
          <w:tcPr>
            <w:tcW w:w="783" w:type="dxa"/>
            <w:gridSpan w:val="2"/>
            <w:tcBorders>
              <w:top w:val="single" w:sz="4" w:space="0" w:color="auto"/>
              <w:left w:val="nil"/>
              <w:bottom w:val="nil"/>
              <w:right w:val="nil"/>
            </w:tcBorders>
            <w:shd w:val="clear" w:color="auto" w:fill="D9D9D9" w:themeFill="background1" w:themeFillShade="D9"/>
            <w:vAlign w:val="center"/>
          </w:tcPr>
          <w:p w14:paraId="1E52D70B" w14:textId="314F036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6B1070B9" w14:textId="3F42E76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2.59%</w:t>
            </w:r>
          </w:p>
        </w:tc>
        <w:tc>
          <w:tcPr>
            <w:tcW w:w="1080" w:type="dxa"/>
            <w:gridSpan w:val="2"/>
            <w:tcBorders>
              <w:top w:val="single" w:sz="4" w:space="0" w:color="auto"/>
              <w:left w:val="nil"/>
              <w:bottom w:val="nil"/>
              <w:right w:val="nil"/>
            </w:tcBorders>
            <w:shd w:val="clear" w:color="auto" w:fill="D9D9D9" w:themeFill="background1" w:themeFillShade="D9"/>
            <w:vAlign w:val="center"/>
          </w:tcPr>
          <w:p w14:paraId="70C15E18" w14:textId="04B52C5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0.18%</w:t>
            </w:r>
          </w:p>
        </w:tc>
        <w:tc>
          <w:tcPr>
            <w:tcW w:w="792" w:type="dxa"/>
            <w:gridSpan w:val="2"/>
            <w:tcBorders>
              <w:top w:val="single" w:sz="4" w:space="0" w:color="auto"/>
              <w:left w:val="nil"/>
              <w:bottom w:val="nil"/>
              <w:right w:val="nil"/>
            </w:tcBorders>
            <w:shd w:val="clear" w:color="auto" w:fill="D9D9D9" w:themeFill="background1" w:themeFillShade="D9"/>
            <w:vAlign w:val="center"/>
          </w:tcPr>
          <w:p w14:paraId="4543A658" w14:textId="35730D7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$1.80</w:t>
            </w:r>
          </w:p>
        </w:tc>
      </w:tr>
      <w:tr w:rsidR="00167F99" w:rsidRPr="001C277A" w14:paraId="77750646"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6342A2FC" w14:textId="5F7EB46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TIPS TR USD</w:t>
            </w:r>
          </w:p>
        </w:tc>
        <w:tc>
          <w:tcPr>
            <w:tcW w:w="900" w:type="dxa"/>
            <w:gridSpan w:val="2"/>
            <w:tcBorders>
              <w:top w:val="nil"/>
              <w:left w:val="nil"/>
              <w:bottom w:val="nil"/>
              <w:right w:val="nil"/>
            </w:tcBorders>
            <w:shd w:val="clear" w:color="auto" w:fill="D9D9D9" w:themeFill="background1" w:themeFillShade="D9"/>
            <w:vAlign w:val="center"/>
          </w:tcPr>
          <w:p w14:paraId="0E738B3F" w14:textId="1ADB886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0.34%</w:t>
            </w:r>
          </w:p>
        </w:tc>
        <w:tc>
          <w:tcPr>
            <w:tcW w:w="900" w:type="dxa"/>
            <w:tcBorders>
              <w:top w:val="nil"/>
              <w:left w:val="nil"/>
              <w:bottom w:val="nil"/>
              <w:right w:val="nil"/>
            </w:tcBorders>
            <w:shd w:val="clear" w:color="auto" w:fill="D9D9D9" w:themeFill="background1" w:themeFillShade="D9"/>
            <w:vAlign w:val="center"/>
          </w:tcPr>
          <w:p w14:paraId="01B1A05F" w14:textId="730C4E46"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2.32%</w:t>
            </w:r>
          </w:p>
        </w:tc>
        <w:tc>
          <w:tcPr>
            <w:tcW w:w="783" w:type="dxa"/>
            <w:gridSpan w:val="2"/>
            <w:tcBorders>
              <w:top w:val="nil"/>
              <w:left w:val="nil"/>
              <w:bottom w:val="nil"/>
              <w:right w:val="nil"/>
            </w:tcBorders>
            <w:shd w:val="clear" w:color="auto" w:fill="D9D9D9" w:themeFill="background1" w:themeFillShade="D9"/>
            <w:vAlign w:val="center"/>
          </w:tcPr>
          <w:p w14:paraId="1661FDA2" w14:textId="3A23CD7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2.09%</w:t>
            </w:r>
          </w:p>
        </w:tc>
        <w:tc>
          <w:tcPr>
            <w:tcW w:w="1080" w:type="dxa"/>
            <w:gridSpan w:val="2"/>
            <w:tcBorders>
              <w:top w:val="nil"/>
              <w:left w:val="nil"/>
              <w:bottom w:val="nil"/>
              <w:right w:val="nil"/>
            </w:tcBorders>
            <w:shd w:val="clear" w:color="auto" w:fill="D9D9D9" w:themeFill="background1" w:themeFillShade="D9"/>
            <w:vAlign w:val="center"/>
          </w:tcPr>
          <w:p w14:paraId="484BEE45" w14:textId="0A8F0A3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2400A350" w14:textId="2C8745E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D9D9D9" w:themeFill="background1" w:themeFillShade="D9"/>
            <w:vAlign w:val="center"/>
          </w:tcPr>
          <w:p w14:paraId="4785EA29" w14:textId="5C91A70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4369C281"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D9D9D9" w:themeFill="background1" w:themeFillShade="D9"/>
            <w:vAlign w:val="center"/>
          </w:tcPr>
          <w:p w14:paraId="6D021CC1" w14:textId="4B579BF7"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D9D9D9" w:themeFill="background1" w:themeFillShade="D9"/>
            <w:vAlign w:val="center"/>
          </w:tcPr>
          <w:p w14:paraId="0515FB7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D9D9D9" w:themeFill="background1" w:themeFillShade="D9"/>
            <w:vAlign w:val="center"/>
          </w:tcPr>
          <w:p w14:paraId="375CFF0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D9D9D9" w:themeFill="background1" w:themeFillShade="D9"/>
            <w:vAlign w:val="center"/>
          </w:tcPr>
          <w:p w14:paraId="05B0F15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702632E5"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047B7B2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D9D9D9" w:themeFill="background1" w:themeFillShade="D9"/>
            <w:vAlign w:val="center"/>
          </w:tcPr>
          <w:p w14:paraId="103103C1"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59AFC52A" w14:textId="77777777" w:rsidTr="00167F99">
        <w:trPr>
          <w:gridBefore w:val="1"/>
          <w:wBefore w:w="25" w:type="dxa"/>
          <w:trHeight w:hRule="exact" w:val="230"/>
        </w:trPr>
        <w:tc>
          <w:tcPr>
            <w:tcW w:w="3960" w:type="dxa"/>
            <w:gridSpan w:val="2"/>
            <w:tcBorders>
              <w:top w:val="single" w:sz="4" w:space="0" w:color="auto"/>
              <w:left w:val="nil"/>
              <w:bottom w:val="nil"/>
              <w:right w:val="nil"/>
            </w:tcBorders>
            <w:shd w:val="clear" w:color="auto" w:fill="auto"/>
            <w:vAlign w:val="center"/>
          </w:tcPr>
          <w:p w14:paraId="53CD66E7" w14:textId="472BC1DC"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iShares US Aggregate Bond Index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07/93)</w:t>
            </w:r>
          </w:p>
        </w:tc>
        <w:tc>
          <w:tcPr>
            <w:tcW w:w="900" w:type="dxa"/>
            <w:gridSpan w:val="2"/>
            <w:tcBorders>
              <w:top w:val="single" w:sz="4" w:space="0" w:color="auto"/>
              <w:left w:val="nil"/>
              <w:bottom w:val="nil"/>
              <w:right w:val="nil"/>
            </w:tcBorders>
            <w:shd w:val="clear" w:color="auto" w:fill="auto"/>
            <w:vAlign w:val="center"/>
          </w:tcPr>
          <w:p w14:paraId="09F18C0E" w14:textId="74B8FA72"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1.60%</w:t>
            </w:r>
          </w:p>
        </w:tc>
        <w:tc>
          <w:tcPr>
            <w:tcW w:w="900" w:type="dxa"/>
            <w:tcBorders>
              <w:top w:val="single" w:sz="4" w:space="0" w:color="auto"/>
              <w:left w:val="nil"/>
              <w:bottom w:val="nil"/>
              <w:right w:val="nil"/>
            </w:tcBorders>
            <w:shd w:val="clear" w:color="auto" w:fill="auto"/>
            <w:vAlign w:val="center"/>
          </w:tcPr>
          <w:p w14:paraId="1296AA4A" w14:textId="776CEC5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0.35%</w:t>
            </w:r>
          </w:p>
        </w:tc>
        <w:tc>
          <w:tcPr>
            <w:tcW w:w="783" w:type="dxa"/>
            <w:gridSpan w:val="2"/>
            <w:tcBorders>
              <w:top w:val="single" w:sz="4" w:space="0" w:color="auto"/>
              <w:left w:val="nil"/>
              <w:bottom w:val="nil"/>
              <w:right w:val="nil"/>
            </w:tcBorders>
            <w:shd w:val="clear" w:color="auto" w:fill="auto"/>
            <w:vAlign w:val="center"/>
          </w:tcPr>
          <w:p w14:paraId="390F8B03" w14:textId="28B38213"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1.49%</w:t>
            </w:r>
          </w:p>
        </w:tc>
        <w:tc>
          <w:tcPr>
            <w:tcW w:w="1080" w:type="dxa"/>
            <w:gridSpan w:val="2"/>
            <w:tcBorders>
              <w:top w:val="single" w:sz="4" w:space="0" w:color="auto"/>
              <w:left w:val="nil"/>
              <w:bottom w:val="nil"/>
              <w:right w:val="nil"/>
            </w:tcBorders>
            <w:shd w:val="clear" w:color="auto" w:fill="auto"/>
            <w:vAlign w:val="center"/>
          </w:tcPr>
          <w:p w14:paraId="2454B96C" w14:textId="0991DCD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4.20%</w:t>
            </w:r>
          </w:p>
        </w:tc>
        <w:tc>
          <w:tcPr>
            <w:tcW w:w="1080" w:type="dxa"/>
            <w:gridSpan w:val="2"/>
            <w:tcBorders>
              <w:top w:val="single" w:sz="4" w:space="0" w:color="auto"/>
              <w:left w:val="nil"/>
              <w:bottom w:val="nil"/>
              <w:right w:val="nil"/>
            </w:tcBorders>
            <w:shd w:val="clear" w:color="auto" w:fill="auto"/>
            <w:vAlign w:val="center"/>
          </w:tcPr>
          <w:p w14:paraId="615A3B13" w14:textId="3BD2A21D"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0.06%</w:t>
            </w:r>
          </w:p>
        </w:tc>
        <w:tc>
          <w:tcPr>
            <w:tcW w:w="792" w:type="dxa"/>
            <w:gridSpan w:val="2"/>
            <w:tcBorders>
              <w:top w:val="single" w:sz="4" w:space="0" w:color="auto"/>
              <w:left w:val="nil"/>
              <w:bottom w:val="nil"/>
              <w:right w:val="nil"/>
            </w:tcBorders>
            <w:shd w:val="clear" w:color="auto" w:fill="auto"/>
            <w:vAlign w:val="center"/>
          </w:tcPr>
          <w:p w14:paraId="5D9935BF" w14:textId="1AA2033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$0.60</w:t>
            </w:r>
          </w:p>
        </w:tc>
      </w:tr>
      <w:tr w:rsidR="00167F99" w:rsidRPr="001C277A" w14:paraId="1AA6BD18"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46C1B834" w14:textId="09B0FE90"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Core Bd TR USD</w:t>
            </w:r>
          </w:p>
        </w:tc>
        <w:tc>
          <w:tcPr>
            <w:tcW w:w="900" w:type="dxa"/>
            <w:gridSpan w:val="2"/>
            <w:tcBorders>
              <w:top w:val="nil"/>
              <w:left w:val="nil"/>
              <w:bottom w:val="nil"/>
              <w:right w:val="nil"/>
            </w:tcBorders>
            <w:shd w:val="clear" w:color="auto" w:fill="auto"/>
            <w:vAlign w:val="center"/>
          </w:tcPr>
          <w:p w14:paraId="10C4735E" w14:textId="6622A0AB"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1.56%</w:t>
            </w:r>
          </w:p>
        </w:tc>
        <w:tc>
          <w:tcPr>
            <w:tcW w:w="900" w:type="dxa"/>
            <w:tcBorders>
              <w:top w:val="nil"/>
              <w:left w:val="nil"/>
              <w:bottom w:val="nil"/>
              <w:right w:val="nil"/>
            </w:tcBorders>
            <w:shd w:val="clear" w:color="auto" w:fill="auto"/>
            <w:vAlign w:val="center"/>
          </w:tcPr>
          <w:p w14:paraId="5B8A93C5" w14:textId="597AAF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0.31%</w:t>
            </w:r>
          </w:p>
        </w:tc>
        <w:tc>
          <w:tcPr>
            <w:tcW w:w="783" w:type="dxa"/>
            <w:gridSpan w:val="2"/>
            <w:tcBorders>
              <w:top w:val="nil"/>
              <w:left w:val="nil"/>
              <w:bottom w:val="nil"/>
              <w:right w:val="nil"/>
            </w:tcBorders>
            <w:shd w:val="clear" w:color="auto" w:fill="auto"/>
            <w:vAlign w:val="center"/>
          </w:tcPr>
          <w:p w14:paraId="6E53D65D" w14:textId="52AA3EE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1.49%</w:t>
            </w:r>
          </w:p>
        </w:tc>
        <w:tc>
          <w:tcPr>
            <w:tcW w:w="1080" w:type="dxa"/>
            <w:gridSpan w:val="2"/>
            <w:tcBorders>
              <w:top w:val="nil"/>
              <w:left w:val="nil"/>
              <w:bottom w:val="nil"/>
              <w:right w:val="nil"/>
            </w:tcBorders>
            <w:shd w:val="clear" w:color="auto" w:fill="auto"/>
            <w:vAlign w:val="center"/>
          </w:tcPr>
          <w:p w14:paraId="215399E9" w14:textId="683CC3A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auto"/>
            <w:vAlign w:val="center"/>
          </w:tcPr>
          <w:p w14:paraId="1F443752" w14:textId="7E2A579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auto"/>
            <w:vAlign w:val="center"/>
          </w:tcPr>
          <w:p w14:paraId="170AF6B2" w14:textId="396F6D7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16F172D6" w14:textId="77777777" w:rsidTr="00167F99">
        <w:trPr>
          <w:gridBefore w:val="1"/>
          <w:wBefore w:w="25" w:type="dxa"/>
          <w:trHeight w:hRule="exact" w:val="230"/>
        </w:trPr>
        <w:tc>
          <w:tcPr>
            <w:tcW w:w="3960" w:type="dxa"/>
            <w:gridSpan w:val="2"/>
            <w:tcBorders>
              <w:top w:val="nil"/>
              <w:left w:val="nil"/>
              <w:bottom w:val="nil"/>
              <w:right w:val="nil"/>
            </w:tcBorders>
            <w:shd w:val="clear" w:color="auto" w:fill="auto"/>
            <w:vAlign w:val="center"/>
          </w:tcPr>
          <w:p w14:paraId="07F7A5C3" w14:textId="47CF4506"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nil"/>
              <w:right w:val="nil"/>
            </w:tcBorders>
            <w:shd w:val="clear" w:color="auto" w:fill="auto"/>
            <w:vAlign w:val="center"/>
          </w:tcPr>
          <w:p w14:paraId="429EDC1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nil"/>
              <w:right w:val="nil"/>
            </w:tcBorders>
            <w:shd w:val="clear" w:color="auto" w:fill="auto"/>
            <w:vAlign w:val="center"/>
          </w:tcPr>
          <w:p w14:paraId="636F402A"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nil"/>
              <w:right w:val="nil"/>
            </w:tcBorders>
            <w:shd w:val="clear" w:color="auto" w:fill="auto"/>
            <w:vAlign w:val="center"/>
          </w:tcPr>
          <w:p w14:paraId="3DFD8039"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nil"/>
              <w:right w:val="nil"/>
            </w:tcBorders>
            <w:shd w:val="clear" w:color="auto" w:fill="auto"/>
            <w:vAlign w:val="center"/>
          </w:tcPr>
          <w:p w14:paraId="412CD2F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nil"/>
              <w:right w:val="nil"/>
            </w:tcBorders>
            <w:shd w:val="clear" w:color="auto" w:fill="auto"/>
            <w:vAlign w:val="center"/>
          </w:tcPr>
          <w:p w14:paraId="6FA51EEC"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nil"/>
              <w:right w:val="nil"/>
            </w:tcBorders>
            <w:shd w:val="clear" w:color="auto" w:fill="auto"/>
            <w:vAlign w:val="center"/>
          </w:tcPr>
          <w:p w14:paraId="2CA0267E"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3BBF8DBA" w14:textId="77777777" w:rsidTr="00167F99">
        <w:trPr>
          <w:gridBefore w:val="1"/>
          <w:wBefore w:w="25" w:type="dxa"/>
          <w:trHeight w:hRule="exact" w:val="320"/>
        </w:trPr>
        <w:tc>
          <w:tcPr>
            <w:tcW w:w="3960" w:type="dxa"/>
            <w:gridSpan w:val="2"/>
            <w:tcBorders>
              <w:top w:val="nil"/>
              <w:left w:val="nil"/>
              <w:bottom w:val="nil"/>
              <w:right w:val="nil"/>
            </w:tcBorders>
            <w:shd w:val="clear" w:color="auto" w:fill="000000"/>
            <w:vAlign w:val="center"/>
          </w:tcPr>
          <w:p w14:paraId="4B3FEDD0" w14:textId="3EACE8AB"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r w:rsidRPr="001C277A">
              <w:rPr>
                <w:rFonts w:ascii="Arial Narrow" w:hAnsi="Arial Narrow" w:cs="Arial"/>
                <w:b/>
                <w:color w:val="FFFFFF"/>
                <w:sz w:val="18"/>
                <w:szCs w:val="18"/>
              </w:rPr>
              <w:t>Other Funds</w:t>
            </w:r>
          </w:p>
        </w:tc>
        <w:tc>
          <w:tcPr>
            <w:tcW w:w="900" w:type="dxa"/>
            <w:gridSpan w:val="2"/>
            <w:tcBorders>
              <w:top w:val="nil"/>
              <w:left w:val="nil"/>
              <w:bottom w:val="nil"/>
              <w:right w:val="nil"/>
            </w:tcBorders>
            <w:shd w:val="clear" w:color="auto" w:fill="000000"/>
            <w:vAlign w:val="center"/>
          </w:tcPr>
          <w:p w14:paraId="6E93115D"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900" w:type="dxa"/>
            <w:tcBorders>
              <w:top w:val="nil"/>
              <w:left w:val="nil"/>
              <w:bottom w:val="nil"/>
              <w:right w:val="nil"/>
            </w:tcBorders>
            <w:shd w:val="clear" w:color="auto" w:fill="000000"/>
            <w:vAlign w:val="center"/>
          </w:tcPr>
          <w:p w14:paraId="1B0DFD98"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83" w:type="dxa"/>
            <w:gridSpan w:val="2"/>
            <w:tcBorders>
              <w:top w:val="nil"/>
              <w:left w:val="nil"/>
              <w:bottom w:val="nil"/>
              <w:right w:val="nil"/>
            </w:tcBorders>
            <w:shd w:val="clear" w:color="auto" w:fill="000000"/>
            <w:vAlign w:val="center"/>
          </w:tcPr>
          <w:p w14:paraId="02C67DC6"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top w:val="nil"/>
              <w:left w:val="nil"/>
              <w:bottom w:val="nil"/>
              <w:right w:val="nil"/>
            </w:tcBorders>
            <w:shd w:val="clear" w:color="auto" w:fill="000000"/>
            <w:vAlign w:val="center"/>
          </w:tcPr>
          <w:p w14:paraId="13D3C855"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1080" w:type="dxa"/>
            <w:gridSpan w:val="2"/>
            <w:tcBorders>
              <w:top w:val="nil"/>
              <w:left w:val="nil"/>
              <w:bottom w:val="nil"/>
              <w:right w:val="nil"/>
            </w:tcBorders>
            <w:shd w:val="clear" w:color="auto" w:fill="000000"/>
            <w:vAlign w:val="center"/>
          </w:tcPr>
          <w:p w14:paraId="3EB92F96"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c>
          <w:tcPr>
            <w:tcW w:w="792" w:type="dxa"/>
            <w:gridSpan w:val="2"/>
            <w:tcBorders>
              <w:top w:val="nil"/>
              <w:left w:val="nil"/>
              <w:bottom w:val="nil"/>
              <w:right w:val="nil"/>
            </w:tcBorders>
            <w:shd w:val="clear" w:color="auto" w:fill="000000"/>
            <w:vAlign w:val="center"/>
          </w:tcPr>
          <w:p w14:paraId="61635BA4" w14:textId="77777777" w:rsidR="00167F99" w:rsidRPr="001C277A" w:rsidRDefault="00167F99" w:rsidP="00167F99">
            <w:pPr>
              <w:autoSpaceDE w:val="0"/>
              <w:autoSpaceDN w:val="0"/>
              <w:adjustRightInd w:val="0"/>
              <w:spacing w:after="0" w:line="240" w:lineRule="auto"/>
              <w:rPr>
                <w:rFonts w:ascii="Arial Narrow" w:hAnsi="Arial Narrow" w:cs="Arial"/>
                <w:b/>
                <w:color w:val="FFFFFF"/>
                <w:sz w:val="18"/>
                <w:szCs w:val="18"/>
              </w:rPr>
            </w:pPr>
          </w:p>
        </w:tc>
      </w:tr>
      <w:tr w:rsidR="00167F99" w:rsidRPr="001C277A" w14:paraId="256AF5C3"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63AC1EE4" w14:textId="1362FBA1"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b/>
                <w:sz w:val="18"/>
                <w:szCs w:val="18"/>
              </w:rPr>
              <w:t xml:space="preserve">iShares Developed Real Estate </w:t>
            </w:r>
            <w:proofErr w:type="spellStart"/>
            <w:r w:rsidRPr="001C277A">
              <w:rPr>
                <w:rFonts w:ascii="Arial Narrow" w:hAnsi="Arial Narrow" w:cs="Arial"/>
                <w:b/>
                <w:sz w:val="18"/>
                <w:szCs w:val="18"/>
              </w:rPr>
              <w:t>Idx</w:t>
            </w:r>
            <w:proofErr w:type="spellEnd"/>
            <w:r w:rsidRPr="001C277A">
              <w:rPr>
                <w:rFonts w:ascii="Arial Narrow" w:hAnsi="Arial Narrow" w:cs="Arial"/>
                <w:b/>
                <w:sz w:val="18"/>
                <w:szCs w:val="18"/>
              </w:rPr>
              <w:t xml:space="preserve"> K</w:t>
            </w:r>
            <w:proofErr w:type="gramStart"/>
            <w:r w:rsidRPr="001C277A">
              <w:rPr>
                <w:rFonts w:ascii="Arial Narrow" w:hAnsi="Arial Narrow" w:cs="Arial"/>
                <w:sz w:val="18"/>
                <w:szCs w:val="18"/>
              </w:rPr>
              <w:t xml:space="preserve">   (</w:t>
            </w:r>
            <w:proofErr w:type="gramEnd"/>
            <w:r w:rsidRPr="001C277A">
              <w:rPr>
                <w:rFonts w:ascii="Arial Narrow" w:hAnsi="Arial Narrow" w:cs="Arial"/>
                <w:sz w:val="18"/>
                <w:szCs w:val="18"/>
              </w:rPr>
              <w:t>08/15)</w:t>
            </w:r>
          </w:p>
        </w:tc>
        <w:tc>
          <w:tcPr>
            <w:tcW w:w="900" w:type="dxa"/>
            <w:gridSpan w:val="2"/>
            <w:tcBorders>
              <w:top w:val="nil"/>
              <w:left w:val="nil"/>
              <w:bottom w:val="nil"/>
              <w:right w:val="nil"/>
            </w:tcBorders>
            <w:shd w:val="clear" w:color="auto" w:fill="D9D9D9" w:themeFill="background1" w:themeFillShade="D9"/>
            <w:vAlign w:val="center"/>
          </w:tcPr>
          <w:p w14:paraId="5D29F3E2" w14:textId="575C156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8.09%</w:t>
            </w:r>
          </w:p>
        </w:tc>
        <w:tc>
          <w:tcPr>
            <w:tcW w:w="900" w:type="dxa"/>
            <w:tcBorders>
              <w:top w:val="nil"/>
              <w:left w:val="nil"/>
              <w:bottom w:val="nil"/>
              <w:right w:val="nil"/>
            </w:tcBorders>
            <w:shd w:val="clear" w:color="auto" w:fill="D9D9D9" w:themeFill="background1" w:themeFillShade="D9"/>
            <w:vAlign w:val="center"/>
          </w:tcPr>
          <w:p w14:paraId="2D7E03E3" w14:textId="02ADAF98"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0.49%</w:t>
            </w:r>
          </w:p>
        </w:tc>
        <w:tc>
          <w:tcPr>
            <w:tcW w:w="783" w:type="dxa"/>
            <w:gridSpan w:val="2"/>
            <w:tcBorders>
              <w:top w:val="nil"/>
              <w:left w:val="nil"/>
              <w:bottom w:val="nil"/>
              <w:right w:val="nil"/>
            </w:tcBorders>
            <w:shd w:val="clear" w:color="auto" w:fill="D9D9D9" w:themeFill="background1" w:themeFillShade="D9"/>
            <w:vAlign w:val="center"/>
          </w:tcPr>
          <w:p w14:paraId="5667ECB0" w14:textId="5C35FCE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6BEFF1E1" w14:textId="1E34544F"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2.88%</w:t>
            </w:r>
          </w:p>
        </w:tc>
        <w:tc>
          <w:tcPr>
            <w:tcW w:w="1080" w:type="dxa"/>
            <w:gridSpan w:val="2"/>
            <w:tcBorders>
              <w:top w:val="nil"/>
              <w:left w:val="nil"/>
              <w:bottom w:val="nil"/>
              <w:right w:val="nil"/>
            </w:tcBorders>
            <w:shd w:val="clear" w:color="auto" w:fill="D9D9D9" w:themeFill="background1" w:themeFillShade="D9"/>
            <w:vAlign w:val="center"/>
          </w:tcPr>
          <w:p w14:paraId="6F1F2BB0" w14:textId="58932720"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0.14%</w:t>
            </w:r>
          </w:p>
        </w:tc>
        <w:tc>
          <w:tcPr>
            <w:tcW w:w="792" w:type="dxa"/>
            <w:gridSpan w:val="2"/>
            <w:tcBorders>
              <w:top w:val="nil"/>
              <w:left w:val="nil"/>
              <w:bottom w:val="nil"/>
              <w:right w:val="nil"/>
            </w:tcBorders>
            <w:shd w:val="clear" w:color="auto" w:fill="D9D9D9" w:themeFill="background1" w:themeFillShade="D9"/>
            <w:vAlign w:val="center"/>
          </w:tcPr>
          <w:p w14:paraId="19DBEEF5" w14:textId="2050DAF5"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$1.40</w:t>
            </w:r>
          </w:p>
        </w:tc>
      </w:tr>
      <w:tr w:rsidR="00167F99" w:rsidRPr="001C277A" w14:paraId="00D70635" w14:textId="77777777" w:rsidTr="00167F99">
        <w:trPr>
          <w:gridBefore w:val="1"/>
          <w:wBefore w:w="25" w:type="dxa"/>
          <w:trHeight w:hRule="exact" w:val="230"/>
        </w:trPr>
        <w:tc>
          <w:tcPr>
            <w:tcW w:w="3960" w:type="dxa"/>
            <w:gridSpan w:val="2"/>
            <w:tcBorders>
              <w:top w:val="nil"/>
              <w:left w:val="nil"/>
              <w:bottom w:val="nil"/>
              <w:right w:val="nil"/>
            </w:tcBorders>
            <w:shd w:val="clear" w:color="auto" w:fill="D9D9D9" w:themeFill="background1" w:themeFillShade="D9"/>
            <w:vAlign w:val="center"/>
          </w:tcPr>
          <w:p w14:paraId="25EEF2F6" w14:textId="5415D4D4"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Morningstar US Real Est TR USD</w:t>
            </w:r>
          </w:p>
        </w:tc>
        <w:tc>
          <w:tcPr>
            <w:tcW w:w="900" w:type="dxa"/>
            <w:gridSpan w:val="2"/>
            <w:tcBorders>
              <w:top w:val="nil"/>
              <w:left w:val="nil"/>
              <w:bottom w:val="nil"/>
              <w:right w:val="nil"/>
            </w:tcBorders>
            <w:shd w:val="clear" w:color="auto" w:fill="D9D9D9" w:themeFill="background1" w:themeFillShade="D9"/>
            <w:vAlign w:val="center"/>
          </w:tcPr>
          <w:p w14:paraId="5AEB9956" w14:textId="64929DFC"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9.63%</w:t>
            </w:r>
          </w:p>
        </w:tc>
        <w:tc>
          <w:tcPr>
            <w:tcW w:w="900" w:type="dxa"/>
            <w:tcBorders>
              <w:top w:val="nil"/>
              <w:left w:val="nil"/>
              <w:bottom w:val="nil"/>
              <w:right w:val="nil"/>
            </w:tcBorders>
            <w:shd w:val="clear" w:color="auto" w:fill="D9D9D9" w:themeFill="background1" w:themeFillShade="D9"/>
            <w:vAlign w:val="center"/>
          </w:tcPr>
          <w:p w14:paraId="1B666D82" w14:textId="67C3B119"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3.63%</w:t>
            </w:r>
          </w:p>
        </w:tc>
        <w:tc>
          <w:tcPr>
            <w:tcW w:w="783" w:type="dxa"/>
            <w:gridSpan w:val="2"/>
            <w:tcBorders>
              <w:top w:val="nil"/>
              <w:left w:val="nil"/>
              <w:bottom w:val="nil"/>
              <w:right w:val="nil"/>
            </w:tcBorders>
            <w:shd w:val="clear" w:color="auto" w:fill="D9D9D9" w:themeFill="background1" w:themeFillShade="D9"/>
            <w:vAlign w:val="center"/>
          </w:tcPr>
          <w:p w14:paraId="4383D1F8" w14:textId="596E0324"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6.25%</w:t>
            </w:r>
          </w:p>
        </w:tc>
        <w:tc>
          <w:tcPr>
            <w:tcW w:w="1080" w:type="dxa"/>
            <w:gridSpan w:val="2"/>
            <w:tcBorders>
              <w:top w:val="nil"/>
              <w:left w:val="nil"/>
              <w:bottom w:val="nil"/>
              <w:right w:val="nil"/>
            </w:tcBorders>
            <w:shd w:val="clear" w:color="auto" w:fill="D9D9D9" w:themeFill="background1" w:themeFillShade="D9"/>
            <w:vAlign w:val="center"/>
          </w:tcPr>
          <w:p w14:paraId="331AE459" w14:textId="6C7B6DF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1080" w:type="dxa"/>
            <w:gridSpan w:val="2"/>
            <w:tcBorders>
              <w:top w:val="nil"/>
              <w:left w:val="nil"/>
              <w:bottom w:val="nil"/>
              <w:right w:val="nil"/>
            </w:tcBorders>
            <w:shd w:val="clear" w:color="auto" w:fill="D9D9D9" w:themeFill="background1" w:themeFillShade="D9"/>
            <w:vAlign w:val="center"/>
          </w:tcPr>
          <w:p w14:paraId="29B6E839" w14:textId="5636A08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c>
          <w:tcPr>
            <w:tcW w:w="792" w:type="dxa"/>
            <w:gridSpan w:val="2"/>
            <w:tcBorders>
              <w:top w:val="nil"/>
              <w:left w:val="nil"/>
              <w:bottom w:val="nil"/>
              <w:right w:val="nil"/>
            </w:tcBorders>
            <w:shd w:val="clear" w:color="auto" w:fill="D9D9D9" w:themeFill="background1" w:themeFillShade="D9"/>
            <w:vAlign w:val="center"/>
          </w:tcPr>
          <w:p w14:paraId="68F7ADE5" w14:textId="08B9485E"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r w:rsidRPr="001C277A">
              <w:rPr>
                <w:rFonts w:ascii="Arial Narrow" w:hAnsi="Arial Narrow" w:cs="Arial"/>
                <w:sz w:val="18"/>
                <w:szCs w:val="18"/>
              </w:rPr>
              <w:t>--</w:t>
            </w:r>
          </w:p>
        </w:tc>
      </w:tr>
      <w:tr w:rsidR="00167F99" w:rsidRPr="001C277A" w14:paraId="3648C5C6" w14:textId="77777777" w:rsidTr="00167F99">
        <w:trPr>
          <w:gridBefore w:val="1"/>
          <w:wBefore w:w="25" w:type="dxa"/>
          <w:trHeight w:hRule="exact" w:val="230"/>
        </w:trPr>
        <w:tc>
          <w:tcPr>
            <w:tcW w:w="3960" w:type="dxa"/>
            <w:gridSpan w:val="2"/>
            <w:tcBorders>
              <w:top w:val="nil"/>
              <w:left w:val="nil"/>
              <w:bottom w:val="single" w:sz="4" w:space="0" w:color="auto"/>
              <w:right w:val="nil"/>
            </w:tcBorders>
            <w:shd w:val="clear" w:color="auto" w:fill="D9D9D9" w:themeFill="background1" w:themeFillShade="D9"/>
            <w:vAlign w:val="center"/>
          </w:tcPr>
          <w:p w14:paraId="2E0F19FE" w14:textId="20D7FB7F" w:rsidR="00167F99" w:rsidRPr="001C277A" w:rsidRDefault="00167F99" w:rsidP="00167F99">
            <w:pPr>
              <w:autoSpaceDE w:val="0"/>
              <w:autoSpaceDN w:val="0"/>
              <w:adjustRightInd w:val="0"/>
              <w:spacing w:after="0" w:line="240" w:lineRule="auto"/>
              <w:rPr>
                <w:rFonts w:ascii="Arial Narrow" w:hAnsi="Arial Narrow" w:cs="Arial"/>
                <w:sz w:val="18"/>
                <w:szCs w:val="18"/>
              </w:rPr>
            </w:pPr>
            <w:r w:rsidRPr="001C277A">
              <w:rPr>
                <w:rFonts w:ascii="Arial Narrow" w:hAnsi="Arial Narrow" w:cs="Arial"/>
                <w:sz w:val="18"/>
                <w:szCs w:val="18"/>
              </w:rPr>
              <w:t>www.LincolnFinancial.com</w:t>
            </w:r>
          </w:p>
        </w:tc>
        <w:tc>
          <w:tcPr>
            <w:tcW w:w="900" w:type="dxa"/>
            <w:gridSpan w:val="2"/>
            <w:tcBorders>
              <w:top w:val="nil"/>
              <w:left w:val="nil"/>
              <w:bottom w:val="single" w:sz="4" w:space="0" w:color="auto"/>
              <w:right w:val="nil"/>
            </w:tcBorders>
            <w:shd w:val="clear" w:color="auto" w:fill="D9D9D9" w:themeFill="background1" w:themeFillShade="D9"/>
            <w:vAlign w:val="center"/>
          </w:tcPr>
          <w:p w14:paraId="146502A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900" w:type="dxa"/>
            <w:tcBorders>
              <w:top w:val="nil"/>
              <w:left w:val="nil"/>
              <w:bottom w:val="single" w:sz="4" w:space="0" w:color="auto"/>
              <w:right w:val="nil"/>
            </w:tcBorders>
            <w:shd w:val="clear" w:color="auto" w:fill="D9D9D9" w:themeFill="background1" w:themeFillShade="D9"/>
            <w:vAlign w:val="center"/>
          </w:tcPr>
          <w:p w14:paraId="0222E72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83" w:type="dxa"/>
            <w:gridSpan w:val="2"/>
            <w:tcBorders>
              <w:top w:val="nil"/>
              <w:left w:val="nil"/>
              <w:bottom w:val="single" w:sz="4" w:space="0" w:color="auto"/>
              <w:right w:val="nil"/>
            </w:tcBorders>
            <w:shd w:val="clear" w:color="auto" w:fill="D9D9D9" w:themeFill="background1" w:themeFillShade="D9"/>
            <w:vAlign w:val="center"/>
          </w:tcPr>
          <w:p w14:paraId="1009B482"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5F5E98B3"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1080" w:type="dxa"/>
            <w:gridSpan w:val="2"/>
            <w:tcBorders>
              <w:top w:val="nil"/>
              <w:left w:val="nil"/>
              <w:bottom w:val="single" w:sz="4" w:space="0" w:color="auto"/>
              <w:right w:val="nil"/>
            </w:tcBorders>
            <w:shd w:val="clear" w:color="auto" w:fill="D9D9D9" w:themeFill="background1" w:themeFillShade="D9"/>
            <w:vAlign w:val="center"/>
          </w:tcPr>
          <w:p w14:paraId="4B14E1B8"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c>
          <w:tcPr>
            <w:tcW w:w="792" w:type="dxa"/>
            <w:gridSpan w:val="2"/>
            <w:tcBorders>
              <w:top w:val="nil"/>
              <w:left w:val="nil"/>
              <w:bottom w:val="single" w:sz="4" w:space="0" w:color="auto"/>
              <w:right w:val="nil"/>
            </w:tcBorders>
            <w:shd w:val="clear" w:color="auto" w:fill="D9D9D9" w:themeFill="background1" w:themeFillShade="D9"/>
            <w:vAlign w:val="center"/>
          </w:tcPr>
          <w:p w14:paraId="7B242FC0" w14:textId="77777777" w:rsidR="00167F99" w:rsidRPr="001C277A" w:rsidRDefault="00167F99" w:rsidP="00167F99">
            <w:pPr>
              <w:autoSpaceDE w:val="0"/>
              <w:autoSpaceDN w:val="0"/>
              <w:adjustRightInd w:val="0"/>
              <w:spacing w:after="0" w:line="240" w:lineRule="auto"/>
              <w:jc w:val="center"/>
              <w:rPr>
                <w:rFonts w:ascii="Arial Narrow" w:hAnsi="Arial Narrow" w:cs="Arial"/>
                <w:sz w:val="18"/>
                <w:szCs w:val="18"/>
              </w:rPr>
            </w:pPr>
          </w:p>
        </w:tc>
      </w:tr>
      <w:tr w:rsidR="00167F99" w:rsidRPr="001C277A" w14:paraId="0DAE83CD" w14:textId="77777777" w:rsidTr="00167F9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0" w:type="dxa"/>
          <w:trHeight w:val="315"/>
        </w:trPr>
        <w:tc>
          <w:tcPr>
            <w:tcW w:w="3963" w:type="dxa"/>
            <w:gridSpan w:val="2"/>
            <w:tcBorders>
              <w:top w:val="nil"/>
              <w:left w:val="nil"/>
              <w:bottom w:val="nil"/>
              <w:right w:val="nil"/>
            </w:tcBorders>
            <w:shd w:val="clear" w:color="auto" w:fill="000000"/>
            <w:vAlign w:val="center"/>
            <w:hideMark/>
          </w:tcPr>
          <w:p w14:paraId="2AF84A62" w14:textId="77777777" w:rsidR="00167F99" w:rsidRPr="001C277A" w:rsidRDefault="00167F99" w:rsidP="00923B68">
            <w:pPr>
              <w:spacing w:after="0" w:line="240" w:lineRule="auto"/>
              <w:ind w:left="90" w:hanging="15"/>
              <w:textAlignment w:val="baseline"/>
              <w:rPr>
                <w:rFonts w:ascii="Segoe UI" w:eastAsia="Times New Roman" w:hAnsi="Segoe UI" w:cs="Segoe UI"/>
                <w:sz w:val="18"/>
                <w:szCs w:val="18"/>
              </w:rPr>
            </w:pPr>
            <w:r w:rsidRPr="001C277A">
              <w:rPr>
                <w:rFonts w:ascii="Arial Narrow" w:eastAsia="Times New Roman" w:hAnsi="Arial Narrow" w:cs="Segoe UI"/>
                <w:b/>
                <w:bCs/>
                <w:color w:val="FFFFFF"/>
                <w:sz w:val="18"/>
                <w:szCs w:val="18"/>
              </w:rPr>
              <w:t>Fixed return investments</w:t>
            </w:r>
            <w:r w:rsidRPr="001C277A">
              <w:rPr>
                <w:rFonts w:ascii="Arial Narrow" w:eastAsia="Times New Roman" w:hAnsi="Arial Narrow" w:cs="Segoe UI"/>
                <w:sz w:val="18"/>
                <w:szCs w:val="18"/>
              </w:rPr>
              <w:t> </w:t>
            </w:r>
          </w:p>
        </w:tc>
        <w:tc>
          <w:tcPr>
            <w:tcW w:w="909" w:type="dxa"/>
            <w:gridSpan w:val="2"/>
            <w:tcBorders>
              <w:top w:val="nil"/>
              <w:left w:val="nil"/>
              <w:bottom w:val="nil"/>
              <w:right w:val="nil"/>
            </w:tcBorders>
            <w:shd w:val="clear" w:color="auto" w:fill="000000"/>
            <w:vAlign w:val="center"/>
            <w:hideMark/>
          </w:tcPr>
          <w:p w14:paraId="124A5304"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c>
          <w:tcPr>
            <w:tcW w:w="911" w:type="dxa"/>
            <w:gridSpan w:val="2"/>
            <w:tcBorders>
              <w:top w:val="nil"/>
              <w:left w:val="nil"/>
              <w:bottom w:val="nil"/>
              <w:right w:val="nil"/>
            </w:tcBorders>
            <w:shd w:val="clear" w:color="auto" w:fill="000000"/>
            <w:vAlign w:val="center"/>
            <w:hideMark/>
          </w:tcPr>
          <w:p w14:paraId="485F89E2"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c>
          <w:tcPr>
            <w:tcW w:w="775" w:type="dxa"/>
            <w:tcBorders>
              <w:top w:val="nil"/>
              <w:left w:val="nil"/>
              <w:bottom w:val="nil"/>
              <w:right w:val="nil"/>
            </w:tcBorders>
            <w:shd w:val="clear" w:color="auto" w:fill="000000"/>
            <w:vAlign w:val="center"/>
            <w:hideMark/>
          </w:tcPr>
          <w:p w14:paraId="14397D3E"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c>
          <w:tcPr>
            <w:tcW w:w="1073" w:type="dxa"/>
            <w:gridSpan w:val="2"/>
            <w:tcBorders>
              <w:top w:val="nil"/>
              <w:left w:val="nil"/>
              <w:bottom w:val="nil"/>
              <w:right w:val="nil"/>
            </w:tcBorders>
            <w:shd w:val="clear" w:color="auto" w:fill="000000"/>
            <w:vAlign w:val="center"/>
            <w:hideMark/>
          </w:tcPr>
          <w:p w14:paraId="7C867AB4"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c>
          <w:tcPr>
            <w:tcW w:w="1073" w:type="dxa"/>
            <w:gridSpan w:val="2"/>
            <w:tcBorders>
              <w:top w:val="nil"/>
              <w:left w:val="nil"/>
              <w:bottom w:val="nil"/>
              <w:right w:val="nil"/>
            </w:tcBorders>
            <w:shd w:val="clear" w:color="auto" w:fill="000000"/>
            <w:vAlign w:val="center"/>
            <w:hideMark/>
          </w:tcPr>
          <w:p w14:paraId="4E1E3AA9"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c>
          <w:tcPr>
            <w:tcW w:w="806" w:type="dxa"/>
            <w:gridSpan w:val="2"/>
            <w:tcBorders>
              <w:top w:val="nil"/>
              <w:left w:val="nil"/>
              <w:bottom w:val="nil"/>
              <w:right w:val="nil"/>
            </w:tcBorders>
            <w:shd w:val="clear" w:color="auto" w:fill="000000"/>
            <w:vAlign w:val="center"/>
            <w:hideMark/>
          </w:tcPr>
          <w:p w14:paraId="78BD3531"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color w:val="FFFFFF"/>
                <w:sz w:val="18"/>
                <w:szCs w:val="18"/>
              </w:rPr>
              <w:t> </w:t>
            </w:r>
          </w:p>
        </w:tc>
      </w:tr>
      <w:tr w:rsidR="00167F99" w:rsidRPr="001C277A" w14:paraId="3AABBCF9" w14:textId="77777777" w:rsidTr="00167F9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0" w:type="dxa"/>
          <w:trHeight w:val="225"/>
        </w:trPr>
        <w:tc>
          <w:tcPr>
            <w:tcW w:w="3963" w:type="dxa"/>
            <w:gridSpan w:val="2"/>
            <w:tcBorders>
              <w:top w:val="nil"/>
              <w:left w:val="nil"/>
              <w:bottom w:val="nil"/>
              <w:right w:val="nil"/>
            </w:tcBorders>
            <w:vAlign w:val="center"/>
            <w:hideMark/>
          </w:tcPr>
          <w:p w14:paraId="7B0311A2"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b/>
                <w:bCs/>
                <w:sz w:val="18"/>
                <w:szCs w:val="18"/>
              </w:rPr>
              <w:t>Lincoln Stable Value</w:t>
            </w:r>
            <w:r w:rsidRPr="001C277A">
              <w:rPr>
                <w:rFonts w:ascii="Arial Narrow" w:eastAsia="Times New Roman" w:hAnsi="Arial Narrow" w:cs="Segoe UI"/>
                <w:sz w:val="18"/>
                <w:szCs w:val="18"/>
              </w:rPr>
              <w:t> </w:t>
            </w:r>
          </w:p>
        </w:tc>
        <w:tc>
          <w:tcPr>
            <w:tcW w:w="909" w:type="dxa"/>
            <w:gridSpan w:val="2"/>
            <w:tcBorders>
              <w:top w:val="nil"/>
              <w:left w:val="nil"/>
              <w:bottom w:val="nil"/>
              <w:right w:val="nil"/>
            </w:tcBorders>
            <w:vAlign w:val="center"/>
            <w:hideMark/>
          </w:tcPr>
          <w:p w14:paraId="3FC85C9A"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911" w:type="dxa"/>
            <w:gridSpan w:val="2"/>
            <w:tcBorders>
              <w:top w:val="nil"/>
              <w:left w:val="nil"/>
              <w:bottom w:val="nil"/>
              <w:right w:val="nil"/>
            </w:tcBorders>
            <w:vAlign w:val="center"/>
            <w:hideMark/>
          </w:tcPr>
          <w:p w14:paraId="04955764"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775" w:type="dxa"/>
            <w:tcBorders>
              <w:top w:val="nil"/>
              <w:left w:val="nil"/>
              <w:bottom w:val="nil"/>
              <w:right w:val="nil"/>
            </w:tcBorders>
            <w:vAlign w:val="center"/>
            <w:hideMark/>
          </w:tcPr>
          <w:p w14:paraId="704649D4"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1073" w:type="dxa"/>
            <w:gridSpan w:val="2"/>
            <w:tcBorders>
              <w:top w:val="nil"/>
              <w:left w:val="nil"/>
              <w:bottom w:val="nil"/>
              <w:right w:val="nil"/>
            </w:tcBorders>
            <w:vAlign w:val="center"/>
            <w:hideMark/>
          </w:tcPr>
          <w:p w14:paraId="538B3430"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1073" w:type="dxa"/>
            <w:gridSpan w:val="2"/>
            <w:tcBorders>
              <w:top w:val="nil"/>
              <w:left w:val="nil"/>
              <w:bottom w:val="nil"/>
              <w:right w:val="nil"/>
            </w:tcBorders>
            <w:vAlign w:val="center"/>
            <w:hideMark/>
          </w:tcPr>
          <w:p w14:paraId="1E5DFE1D"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806" w:type="dxa"/>
            <w:gridSpan w:val="2"/>
            <w:tcBorders>
              <w:top w:val="nil"/>
              <w:left w:val="nil"/>
              <w:bottom w:val="nil"/>
              <w:right w:val="nil"/>
            </w:tcBorders>
            <w:vAlign w:val="center"/>
            <w:hideMark/>
          </w:tcPr>
          <w:p w14:paraId="16EA6EDC"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r>
      <w:tr w:rsidR="00167F99" w:rsidRPr="001C277A" w14:paraId="2029AB2D" w14:textId="77777777" w:rsidTr="00167F9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0" w:type="dxa"/>
          <w:trHeight w:val="225"/>
        </w:trPr>
        <w:tc>
          <w:tcPr>
            <w:tcW w:w="3963" w:type="dxa"/>
            <w:gridSpan w:val="2"/>
            <w:tcBorders>
              <w:top w:val="nil"/>
              <w:left w:val="nil"/>
              <w:bottom w:val="single" w:sz="6" w:space="0" w:color="auto"/>
              <w:right w:val="nil"/>
            </w:tcBorders>
            <w:vAlign w:val="center"/>
            <w:hideMark/>
          </w:tcPr>
          <w:p w14:paraId="697D6822" w14:textId="77777777" w:rsidR="00167F99" w:rsidRPr="001C277A" w:rsidRDefault="00167F99" w:rsidP="00923B68">
            <w:pPr>
              <w:spacing w:after="0" w:line="240" w:lineRule="auto"/>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www.LincolnFinancial.com </w:t>
            </w:r>
          </w:p>
        </w:tc>
        <w:tc>
          <w:tcPr>
            <w:tcW w:w="909" w:type="dxa"/>
            <w:gridSpan w:val="2"/>
            <w:tcBorders>
              <w:top w:val="nil"/>
              <w:left w:val="nil"/>
              <w:bottom w:val="single" w:sz="6" w:space="0" w:color="auto"/>
              <w:right w:val="nil"/>
            </w:tcBorders>
            <w:vAlign w:val="center"/>
            <w:hideMark/>
          </w:tcPr>
          <w:p w14:paraId="0B10CBBA"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911" w:type="dxa"/>
            <w:gridSpan w:val="2"/>
            <w:tcBorders>
              <w:top w:val="nil"/>
              <w:left w:val="nil"/>
              <w:bottom w:val="single" w:sz="6" w:space="0" w:color="auto"/>
              <w:right w:val="nil"/>
            </w:tcBorders>
            <w:vAlign w:val="center"/>
            <w:hideMark/>
          </w:tcPr>
          <w:p w14:paraId="1E645D36"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775" w:type="dxa"/>
            <w:tcBorders>
              <w:top w:val="nil"/>
              <w:left w:val="nil"/>
              <w:bottom w:val="single" w:sz="6" w:space="0" w:color="auto"/>
              <w:right w:val="nil"/>
            </w:tcBorders>
            <w:vAlign w:val="center"/>
            <w:hideMark/>
          </w:tcPr>
          <w:p w14:paraId="0B58B4C4"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1073" w:type="dxa"/>
            <w:gridSpan w:val="2"/>
            <w:tcBorders>
              <w:top w:val="nil"/>
              <w:left w:val="nil"/>
              <w:bottom w:val="single" w:sz="6" w:space="0" w:color="auto"/>
              <w:right w:val="nil"/>
            </w:tcBorders>
            <w:vAlign w:val="center"/>
            <w:hideMark/>
          </w:tcPr>
          <w:p w14:paraId="651B7601"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1073" w:type="dxa"/>
            <w:gridSpan w:val="2"/>
            <w:tcBorders>
              <w:top w:val="nil"/>
              <w:left w:val="nil"/>
              <w:bottom w:val="single" w:sz="6" w:space="0" w:color="auto"/>
              <w:right w:val="nil"/>
            </w:tcBorders>
            <w:vAlign w:val="center"/>
            <w:hideMark/>
          </w:tcPr>
          <w:p w14:paraId="698AE40B"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c>
          <w:tcPr>
            <w:tcW w:w="806" w:type="dxa"/>
            <w:gridSpan w:val="2"/>
            <w:tcBorders>
              <w:top w:val="nil"/>
              <w:left w:val="nil"/>
              <w:bottom w:val="single" w:sz="6" w:space="0" w:color="auto"/>
              <w:right w:val="nil"/>
            </w:tcBorders>
            <w:vAlign w:val="center"/>
            <w:hideMark/>
          </w:tcPr>
          <w:p w14:paraId="105B787A" w14:textId="77777777" w:rsidR="00167F99" w:rsidRPr="001C277A" w:rsidRDefault="00167F99" w:rsidP="00923B68">
            <w:pPr>
              <w:spacing w:after="0" w:line="240" w:lineRule="auto"/>
              <w:jc w:val="center"/>
              <w:textAlignment w:val="baseline"/>
              <w:rPr>
                <w:rFonts w:ascii="Segoe UI" w:eastAsia="Times New Roman" w:hAnsi="Segoe UI" w:cs="Segoe UI"/>
                <w:sz w:val="18"/>
                <w:szCs w:val="18"/>
              </w:rPr>
            </w:pPr>
            <w:r w:rsidRPr="001C277A">
              <w:rPr>
                <w:rFonts w:ascii="Arial Narrow" w:eastAsia="Times New Roman" w:hAnsi="Arial Narrow" w:cs="Segoe UI"/>
                <w:sz w:val="18"/>
                <w:szCs w:val="18"/>
              </w:rPr>
              <w:t> </w:t>
            </w:r>
          </w:p>
        </w:tc>
      </w:tr>
    </w:tbl>
    <w:p w14:paraId="0D4D5C2A" w14:textId="77777777" w:rsidR="00E867BE" w:rsidRPr="001C277A" w:rsidRDefault="00E867BE" w:rsidP="00B94F0C">
      <w:pPr>
        <w:autoSpaceDE w:val="0"/>
        <w:autoSpaceDN w:val="0"/>
        <w:adjustRightInd w:val="0"/>
        <w:spacing w:after="0" w:line="240" w:lineRule="auto"/>
        <w:jc w:val="both"/>
        <w:rPr>
          <w:rFonts w:cs="Arial"/>
          <w:color w:val="000000"/>
          <w:sz w:val="20"/>
          <w:szCs w:val="20"/>
        </w:rPr>
      </w:pPr>
    </w:p>
    <w:p w14:paraId="656853DA" w14:textId="77777777" w:rsidR="00306F30" w:rsidRPr="001C277A" w:rsidRDefault="00306F30" w:rsidP="007C30FE">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t>The cumulative effect of fees and expenses can substantially reduce the growth of your retirement savings. For an example</w:t>
      </w:r>
      <w:r w:rsidR="00996D1F" w:rsidRPr="001C277A">
        <w:rPr>
          <w:rFonts w:cs="Arial"/>
          <w:color w:val="000000"/>
          <w:sz w:val="20"/>
          <w:szCs w:val="20"/>
        </w:rPr>
        <w:t xml:space="preserve"> </w:t>
      </w:r>
      <w:r w:rsidRPr="001C277A">
        <w:rPr>
          <w:rFonts w:cs="Arial"/>
          <w:color w:val="000000"/>
          <w:sz w:val="20"/>
          <w:szCs w:val="20"/>
        </w:rPr>
        <w:t>of the long-term effects of fees and expenses on your retirement account, visit the Department of Labor website at</w:t>
      </w:r>
      <w:r w:rsidR="00996D1F" w:rsidRPr="001C277A">
        <w:rPr>
          <w:rFonts w:cs="Arial"/>
          <w:color w:val="000000"/>
          <w:sz w:val="20"/>
          <w:szCs w:val="20"/>
        </w:rPr>
        <w:t xml:space="preserve"> </w:t>
      </w:r>
      <w:r w:rsidRPr="001C277A">
        <w:rPr>
          <w:rFonts w:cs="Arial"/>
          <w:color w:val="000000"/>
          <w:sz w:val="20"/>
          <w:szCs w:val="20"/>
        </w:rPr>
        <w:t>http://www.dol.gov/ebsa/publications/401k_employee.html. Fees and expenses are only one of many factors to consider</w:t>
      </w:r>
      <w:r w:rsidR="00996D1F" w:rsidRPr="001C277A">
        <w:rPr>
          <w:rFonts w:cs="Arial"/>
          <w:color w:val="000000"/>
          <w:sz w:val="20"/>
          <w:szCs w:val="20"/>
        </w:rPr>
        <w:t xml:space="preserve"> </w:t>
      </w:r>
      <w:r w:rsidRPr="001C277A">
        <w:rPr>
          <w:rFonts w:cs="Arial"/>
          <w:color w:val="000000"/>
          <w:sz w:val="20"/>
          <w:szCs w:val="20"/>
        </w:rPr>
        <w:t>when you decide to invest in an option. You may also want to consider whether an investment in a particular option, along</w:t>
      </w:r>
      <w:r w:rsidR="00996D1F" w:rsidRPr="001C277A">
        <w:rPr>
          <w:rFonts w:cs="Arial"/>
          <w:color w:val="000000"/>
          <w:sz w:val="20"/>
          <w:szCs w:val="20"/>
        </w:rPr>
        <w:t xml:space="preserve"> </w:t>
      </w:r>
      <w:r w:rsidRPr="001C277A">
        <w:rPr>
          <w:rFonts w:cs="Arial"/>
          <w:color w:val="000000"/>
          <w:sz w:val="20"/>
          <w:szCs w:val="20"/>
        </w:rPr>
        <w:t>with your other investments, may help you achieve your financial goals.</w:t>
      </w:r>
    </w:p>
    <w:p w14:paraId="6E65B8E7" w14:textId="77777777" w:rsidR="00996D1F" w:rsidRPr="001C277A" w:rsidRDefault="00996D1F" w:rsidP="007C30FE">
      <w:pPr>
        <w:autoSpaceDE w:val="0"/>
        <w:autoSpaceDN w:val="0"/>
        <w:adjustRightInd w:val="0"/>
        <w:spacing w:after="0" w:line="240" w:lineRule="auto"/>
        <w:jc w:val="both"/>
        <w:rPr>
          <w:rFonts w:cs="Arial"/>
          <w:color w:val="000000"/>
          <w:sz w:val="20"/>
          <w:szCs w:val="20"/>
        </w:rPr>
      </w:pPr>
    </w:p>
    <w:p w14:paraId="4F7358BF" w14:textId="77777777" w:rsidR="00306F30" w:rsidRPr="001C277A" w:rsidRDefault="00306F30" w:rsidP="007C30FE">
      <w:pPr>
        <w:autoSpaceDE w:val="0"/>
        <w:autoSpaceDN w:val="0"/>
        <w:adjustRightInd w:val="0"/>
        <w:spacing w:after="0" w:line="240" w:lineRule="auto"/>
        <w:jc w:val="both"/>
        <w:rPr>
          <w:rFonts w:cs="Arial"/>
          <w:color w:val="000000"/>
          <w:sz w:val="20"/>
          <w:szCs w:val="20"/>
        </w:rPr>
      </w:pPr>
      <w:r w:rsidRPr="001C277A">
        <w:rPr>
          <w:rFonts w:cs="Arial"/>
          <w:color w:val="000000"/>
          <w:sz w:val="20"/>
          <w:szCs w:val="20"/>
        </w:rPr>
        <w:lastRenderedPageBreak/>
        <w:t>Please visit LincolnFinancial.com for a glossary of investment terms relevant to the investment options under this</w:t>
      </w:r>
      <w:r w:rsidR="00996D1F" w:rsidRPr="001C277A">
        <w:rPr>
          <w:rFonts w:cs="Arial"/>
          <w:color w:val="000000"/>
          <w:sz w:val="20"/>
          <w:szCs w:val="20"/>
        </w:rPr>
        <w:t xml:space="preserve"> </w:t>
      </w:r>
      <w:r w:rsidRPr="001C277A">
        <w:rPr>
          <w:rFonts w:cs="Arial"/>
          <w:color w:val="000000"/>
          <w:sz w:val="20"/>
          <w:szCs w:val="20"/>
        </w:rPr>
        <w:t>plan. This glossary is intended to help you better understand the terms used in this document.</w:t>
      </w:r>
    </w:p>
    <w:p w14:paraId="134E010D" w14:textId="77777777" w:rsidR="00CA5932" w:rsidRPr="001C277A" w:rsidRDefault="00CA5932" w:rsidP="009460DB">
      <w:pPr>
        <w:autoSpaceDE w:val="0"/>
        <w:autoSpaceDN w:val="0"/>
        <w:adjustRightInd w:val="0"/>
        <w:spacing w:after="60" w:line="240" w:lineRule="auto"/>
        <w:jc w:val="both"/>
        <w:rPr>
          <w:rFonts w:cs="Arial"/>
          <w:b/>
          <w:color w:val="000000"/>
          <w:szCs w:val="24"/>
        </w:rPr>
      </w:pPr>
    </w:p>
    <w:p w14:paraId="48AF5C9D" w14:textId="32FF9D9B" w:rsidR="00306F30" w:rsidRPr="001C277A" w:rsidRDefault="00306F30" w:rsidP="009460DB">
      <w:pPr>
        <w:autoSpaceDE w:val="0"/>
        <w:autoSpaceDN w:val="0"/>
        <w:adjustRightInd w:val="0"/>
        <w:spacing w:after="60" w:line="240" w:lineRule="auto"/>
        <w:jc w:val="both"/>
        <w:rPr>
          <w:rFonts w:cs="Arial"/>
          <w:b/>
          <w:color w:val="000000"/>
          <w:szCs w:val="24"/>
        </w:rPr>
      </w:pPr>
      <w:r w:rsidRPr="001C277A">
        <w:rPr>
          <w:rFonts w:cs="Arial"/>
          <w:b/>
          <w:color w:val="000000"/>
          <w:szCs w:val="24"/>
        </w:rPr>
        <w:t>Important Disclosures. Please read.</w:t>
      </w:r>
    </w:p>
    <w:p w14:paraId="20CDC7A2" w14:textId="77777777" w:rsidR="00E14C0B" w:rsidRPr="001C277A" w:rsidRDefault="00E14C0B" w:rsidP="00B94F0C">
      <w:pPr>
        <w:pStyle w:val="PlainText"/>
        <w:spacing w:after="60"/>
        <w:jc w:val="both"/>
        <w:rPr>
          <w:rFonts w:cs="Arial"/>
          <w:sz w:val="16"/>
        </w:rPr>
      </w:pPr>
      <w:bookmarkStart w:id="36" w:name="DltInsightSeries"/>
      <w:bookmarkEnd w:id="36"/>
      <w:r w:rsidRPr="001C277A">
        <w:rPr>
          <w:rFonts w:cs="Arial"/>
          <w:sz w:val="16"/>
        </w:rPr>
        <w:t xml:space="preserve">Mutual funds in the </w:t>
      </w:r>
      <w:r w:rsidRPr="001C277A">
        <w:rPr>
          <w:rFonts w:cs="Arial"/>
          <w:i/>
          <w:iCs/>
          <w:sz w:val="16"/>
        </w:rPr>
        <w:t>Lincoln Alliance</w:t>
      </w:r>
      <w:r w:rsidRPr="001C277A">
        <w:rPr>
          <w:rFonts w:cs="Arial"/>
          <w:i/>
          <w:iCs/>
          <w:sz w:val="16"/>
          <w:vertAlign w:val="superscript"/>
        </w:rPr>
        <w:t>®</w:t>
      </w:r>
      <w:r w:rsidRPr="001C277A">
        <w:rPr>
          <w:rFonts w:cs="Arial"/>
          <w:sz w:val="16"/>
          <w:vertAlign w:val="superscript"/>
        </w:rPr>
        <w:t xml:space="preserve"> </w:t>
      </w:r>
      <w:r w:rsidRPr="001C277A">
        <w:rPr>
          <w:rFonts w:cs="Arial"/>
          <w:sz w:val="16"/>
        </w:rPr>
        <w:t>program are sold by prospectus. The program includes certain services provided by Lincoln Financial Advisors Corp. (LFA), a broker-dealer (member FINRA) and an affiliate of Lincoln Financial Group, 1300 S. Clinton St., Fort Wayne, IN  46802. Unaffiliated broker-dealers also may provide services to customers.</w:t>
      </w:r>
    </w:p>
    <w:p w14:paraId="11706540" w14:textId="77777777" w:rsidR="009E63C9" w:rsidRPr="001C277A" w:rsidRDefault="009E63C9" w:rsidP="00B94F0C">
      <w:pPr>
        <w:autoSpaceDE w:val="0"/>
        <w:autoSpaceDN w:val="0"/>
        <w:adjustRightInd w:val="0"/>
        <w:spacing w:after="60" w:line="240" w:lineRule="auto"/>
        <w:jc w:val="both"/>
        <w:rPr>
          <w:rFonts w:cs="Arial"/>
          <w:sz w:val="16"/>
          <w:szCs w:val="16"/>
        </w:rPr>
      </w:pPr>
      <w:r w:rsidRPr="001C277A">
        <w:rPr>
          <w:rFonts w:cs="Arial"/>
          <w:sz w:val="16"/>
          <w:szCs w:val="16"/>
        </w:rPr>
        <w:t>The stable value option may be offered as a fixed annuity through Lincoln Financial Group affiliates or as a collective trust</w:t>
      </w:r>
      <w:r w:rsidR="00DC65C3" w:rsidRPr="001C277A">
        <w:rPr>
          <w:rFonts w:cs="Arial"/>
          <w:sz w:val="16"/>
          <w:szCs w:val="16"/>
        </w:rPr>
        <w:t xml:space="preserve"> </w:t>
      </w:r>
      <w:r w:rsidRPr="001C277A">
        <w:rPr>
          <w:rFonts w:cs="Arial"/>
          <w:sz w:val="16"/>
          <w:szCs w:val="16"/>
        </w:rPr>
        <w:t>through independent third-party trust companies.</w:t>
      </w:r>
    </w:p>
    <w:p w14:paraId="51DC095C" w14:textId="77777777" w:rsidR="00F85013" w:rsidRPr="001C277A" w:rsidRDefault="00F85013" w:rsidP="00F85013">
      <w:pPr>
        <w:spacing w:after="60" w:line="240" w:lineRule="auto"/>
        <w:jc w:val="both"/>
        <w:rPr>
          <w:rFonts w:cs="Arial"/>
          <w:sz w:val="16"/>
          <w:szCs w:val="16"/>
        </w:rPr>
      </w:pPr>
      <w:bookmarkStart w:id="37" w:name="MLFtrHdr"/>
      <w:bookmarkStart w:id="38" w:name="MLFtr"/>
      <w:bookmarkStart w:id="39" w:name="DltSDBAdisclosure"/>
      <w:bookmarkStart w:id="40" w:name="DltSRIdisclosure1"/>
      <w:bookmarkStart w:id="41" w:name="DltSRIdisclosure2"/>
      <w:bookmarkStart w:id="42" w:name="DltSRIdisclosure3"/>
      <w:bookmarkStart w:id="43" w:name="DltMstarDisclosure"/>
      <w:bookmarkEnd w:id="37"/>
      <w:bookmarkEnd w:id="38"/>
      <w:bookmarkEnd w:id="39"/>
      <w:bookmarkEnd w:id="40"/>
      <w:bookmarkEnd w:id="41"/>
      <w:bookmarkEnd w:id="42"/>
      <w:bookmarkEnd w:id="43"/>
      <w:r w:rsidRPr="001C277A">
        <w:rPr>
          <w:rFonts w:cs="Arial"/>
          <w:sz w:val="16"/>
          <w:szCs w:val="16"/>
        </w:rPr>
        <w:t>Morningstar Investment Management, LLC is not an affiliate of Lincoln National Corporation.</w:t>
      </w:r>
    </w:p>
    <w:p w14:paraId="56640F43" w14:textId="77777777" w:rsidR="009D3B7B" w:rsidRPr="001C277A" w:rsidRDefault="006F4651" w:rsidP="006F4651">
      <w:pPr>
        <w:spacing w:after="60" w:line="240" w:lineRule="auto"/>
        <w:jc w:val="both"/>
        <w:rPr>
          <w:rFonts w:cs="Arial"/>
          <w:sz w:val="16"/>
          <w:szCs w:val="16"/>
        </w:rPr>
      </w:pPr>
      <w:bookmarkStart w:id="44" w:name="YPdisclosure"/>
      <w:r w:rsidRPr="001C277A">
        <w:rPr>
          <w:rFonts w:cs="Arial"/>
          <w:sz w:val="16"/>
          <w:szCs w:val="16"/>
        </w:rPr>
        <w:t xml:space="preserve">The </w:t>
      </w:r>
      <w:proofErr w:type="spellStart"/>
      <w:r w:rsidRPr="001C277A">
        <w:rPr>
          <w:rFonts w:cs="Arial"/>
          <w:i/>
          <w:sz w:val="16"/>
          <w:szCs w:val="16"/>
        </w:rPr>
        <w:t>YourPath</w:t>
      </w:r>
      <w:r w:rsidRPr="001C277A">
        <w:rPr>
          <w:rFonts w:cs="Arial"/>
          <w:sz w:val="16"/>
          <w:szCs w:val="16"/>
          <w:vertAlign w:val="superscript"/>
        </w:rPr>
        <w:t>SM</w:t>
      </w:r>
      <w:proofErr w:type="spellEnd"/>
      <w:r w:rsidRPr="001C277A">
        <w:rPr>
          <w:rFonts w:cs="Arial"/>
          <w:sz w:val="16"/>
          <w:szCs w:val="16"/>
        </w:rPr>
        <w:t xml:space="preserve"> retirement allocation portfolios’ mixture of investments is designed (1) to generate retirement income and preservation of capital and (2) to produce growth that outpaces inflation. The principal value of the </w:t>
      </w:r>
      <w:proofErr w:type="spellStart"/>
      <w:r w:rsidRPr="001C277A">
        <w:rPr>
          <w:rFonts w:cs="Arial"/>
          <w:i/>
          <w:sz w:val="16"/>
          <w:szCs w:val="16"/>
        </w:rPr>
        <w:t>YourPath</w:t>
      </w:r>
      <w:r w:rsidRPr="001C277A">
        <w:rPr>
          <w:rFonts w:cs="Arial"/>
          <w:sz w:val="16"/>
          <w:szCs w:val="16"/>
          <w:vertAlign w:val="superscript"/>
        </w:rPr>
        <w:t>SM</w:t>
      </w:r>
      <w:proofErr w:type="spellEnd"/>
      <w:r w:rsidRPr="001C277A">
        <w:rPr>
          <w:rFonts w:cs="Arial"/>
          <w:sz w:val="16"/>
          <w:szCs w:val="16"/>
        </w:rPr>
        <w:t xml:space="preserve"> retirement allocation portfolios will fluctuate with market conditions and is not guaranteed.</w:t>
      </w:r>
      <w:bookmarkEnd w:id="44"/>
    </w:p>
    <w:p w14:paraId="2297C002" w14:textId="77777777" w:rsidR="00447F50" w:rsidRPr="001D1DF7" w:rsidRDefault="00306F30" w:rsidP="00241E7D">
      <w:pPr>
        <w:autoSpaceDE w:val="0"/>
        <w:autoSpaceDN w:val="0"/>
        <w:adjustRightInd w:val="0"/>
        <w:spacing w:after="60" w:line="240" w:lineRule="auto"/>
        <w:jc w:val="both"/>
        <w:rPr>
          <w:rFonts w:cs="Arial"/>
        </w:rPr>
      </w:pPr>
      <w:r w:rsidRPr="001C277A">
        <w:rPr>
          <w:rFonts w:cs="Arial"/>
          <w:color w:val="000000"/>
          <w:sz w:val="16"/>
          <w:szCs w:val="16"/>
        </w:rPr>
        <w:t>Lincoln Financial Group is the marketing name for Lincoln National Corporation and its affiliates. Affiliates are</w:t>
      </w:r>
      <w:r w:rsidR="00AB73AC" w:rsidRPr="001C277A">
        <w:rPr>
          <w:rFonts w:cs="Arial"/>
          <w:color w:val="000000"/>
          <w:sz w:val="16"/>
          <w:szCs w:val="16"/>
        </w:rPr>
        <w:t xml:space="preserve"> </w:t>
      </w:r>
      <w:r w:rsidRPr="001C277A">
        <w:rPr>
          <w:rFonts w:cs="Arial"/>
          <w:color w:val="000000"/>
          <w:sz w:val="16"/>
          <w:szCs w:val="16"/>
        </w:rPr>
        <w:t>separately responsible for their own financial and contractual obligations.</w:t>
      </w:r>
    </w:p>
    <w:sectPr w:rsidR="00447F50" w:rsidRPr="001D1DF7" w:rsidSect="00705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F8F1A" w14:textId="77777777" w:rsidR="00167F99" w:rsidRDefault="00167F99" w:rsidP="00234C1C">
      <w:pPr>
        <w:spacing w:after="0" w:line="240" w:lineRule="auto"/>
      </w:pPr>
      <w:r>
        <w:separator/>
      </w:r>
    </w:p>
  </w:endnote>
  <w:endnote w:type="continuationSeparator" w:id="0">
    <w:p w14:paraId="45C5150F" w14:textId="77777777" w:rsidR="00167F99" w:rsidRDefault="00167F99" w:rsidP="0023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Roboto Condensed Light">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21727"/>
      <w:docPartObj>
        <w:docPartGallery w:val="Page Numbers (Bottom of Page)"/>
        <w:docPartUnique/>
      </w:docPartObj>
    </w:sdtPr>
    <w:sdtEndPr/>
    <w:sdtContent>
      <w:sdt>
        <w:sdtPr>
          <w:rPr>
            <w:sz w:val="14"/>
            <w:szCs w:val="14"/>
          </w:rPr>
          <w:id w:val="860082579"/>
          <w:docPartObj>
            <w:docPartGallery w:val="Page Numbers (Top of Page)"/>
            <w:docPartUnique/>
          </w:docPartObj>
        </w:sdtPr>
        <w:sdtEndPr>
          <w:rPr>
            <w:sz w:val="22"/>
            <w:szCs w:val="22"/>
          </w:rPr>
        </w:sdtEndPr>
        <w:sdtContent>
          <w:p w14:paraId="202C7EB2" w14:textId="5AF2CB26" w:rsidR="00213450" w:rsidRDefault="00213450">
            <w:pPr>
              <w:pStyle w:val="Footer"/>
              <w:jc w:val="right"/>
            </w:pPr>
            <w:r>
              <w:rPr>
                <w:sz w:val="14"/>
                <w:szCs w:val="14"/>
              </w:rPr>
              <w:t xml:space="preserve">   </w:t>
            </w:r>
            <w:r>
              <w:rPr>
                <w:color w:val="000000"/>
                <w:sz w:val="14"/>
              </w:rPr>
              <w:t xml:space="preserve"> </w:t>
            </w:r>
            <w:bookmarkStart w:id="13" w:name="PlanCodeFtr"/>
            <w:bookmarkEnd w:id="13"/>
            <w:r w:rsidR="00167F99">
              <w:rPr>
                <w:color w:val="000000"/>
                <w:sz w:val="14"/>
              </w:rPr>
              <w:t>FLEXB-001</w:t>
            </w:r>
            <w:r>
              <w:rPr>
                <w:color w:val="000000"/>
                <w:sz w:val="14"/>
              </w:rPr>
              <w:t xml:space="preserve"> </w:t>
            </w:r>
            <w:r w:rsidRPr="00AE7995">
              <w:rPr>
                <w:sz w:val="14"/>
                <w:szCs w:val="14"/>
              </w:rPr>
              <w:t xml:space="preserve">Page </w:t>
            </w:r>
            <w:r w:rsidRPr="00AE7995">
              <w:rPr>
                <w:bCs/>
                <w:sz w:val="14"/>
                <w:szCs w:val="14"/>
              </w:rPr>
              <w:fldChar w:fldCharType="begin"/>
            </w:r>
            <w:r w:rsidRPr="00AE7995">
              <w:rPr>
                <w:bCs/>
                <w:sz w:val="14"/>
                <w:szCs w:val="14"/>
              </w:rPr>
              <w:instrText xml:space="preserve"> PAGE </w:instrText>
            </w:r>
            <w:r w:rsidRPr="00AE7995">
              <w:rPr>
                <w:bCs/>
                <w:sz w:val="14"/>
                <w:szCs w:val="14"/>
              </w:rPr>
              <w:fldChar w:fldCharType="separate"/>
            </w:r>
            <w:r w:rsidR="00EE5BE9">
              <w:rPr>
                <w:bCs/>
                <w:noProof/>
                <w:sz w:val="14"/>
                <w:szCs w:val="14"/>
              </w:rPr>
              <w:t>5</w:t>
            </w:r>
            <w:r w:rsidRPr="00AE7995">
              <w:rPr>
                <w:bCs/>
                <w:sz w:val="14"/>
                <w:szCs w:val="14"/>
              </w:rPr>
              <w:fldChar w:fldCharType="end"/>
            </w:r>
            <w:r w:rsidRPr="00AE7995">
              <w:rPr>
                <w:sz w:val="14"/>
                <w:szCs w:val="14"/>
              </w:rPr>
              <w:t xml:space="preserve"> of </w:t>
            </w:r>
            <w:r w:rsidRPr="00AE7995">
              <w:rPr>
                <w:bCs/>
                <w:sz w:val="14"/>
                <w:szCs w:val="14"/>
              </w:rPr>
              <w:fldChar w:fldCharType="begin"/>
            </w:r>
            <w:r w:rsidRPr="00AE7995">
              <w:rPr>
                <w:bCs/>
                <w:sz w:val="14"/>
                <w:szCs w:val="14"/>
              </w:rPr>
              <w:instrText xml:space="preserve"> NUMPAGES  </w:instrText>
            </w:r>
            <w:r w:rsidRPr="00AE7995">
              <w:rPr>
                <w:bCs/>
                <w:sz w:val="14"/>
                <w:szCs w:val="14"/>
              </w:rPr>
              <w:fldChar w:fldCharType="separate"/>
            </w:r>
            <w:r w:rsidR="00EE5BE9">
              <w:rPr>
                <w:bCs/>
                <w:noProof/>
                <w:sz w:val="14"/>
                <w:szCs w:val="14"/>
              </w:rPr>
              <w:t>10</w:t>
            </w:r>
            <w:r w:rsidRPr="00AE7995">
              <w:rPr>
                <w:bCs/>
                <w:sz w:val="14"/>
                <w:szCs w:val="14"/>
              </w:rPr>
              <w:fldChar w:fldCharType="end"/>
            </w:r>
          </w:p>
        </w:sdtContent>
      </w:sdt>
    </w:sdtContent>
  </w:sdt>
  <w:p w14:paraId="66053679" w14:textId="77777777" w:rsidR="00213450" w:rsidRDefault="0021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A9171" w14:textId="77777777" w:rsidR="00167F99" w:rsidRDefault="00167F99" w:rsidP="00234C1C">
      <w:pPr>
        <w:spacing w:after="0" w:line="240" w:lineRule="auto"/>
      </w:pPr>
      <w:r>
        <w:separator/>
      </w:r>
    </w:p>
  </w:footnote>
  <w:footnote w:type="continuationSeparator" w:id="0">
    <w:p w14:paraId="08398E0F" w14:textId="77777777" w:rsidR="00167F99" w:rsidRDefault="00167F99" w:rsidP="0023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1E60"/>
    <w:multiLevelType w:val="hybridMultilevel"/>
    <w:tmpl w:val="1F380D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303D1C"/>
    <w:multiLevelType w:val="hybridMultilevel"/>
    <w:tmpl w:val="31E815B6"/>
    <w:lvl w:ilvl="0" w:tplc="04090001">
      <w:start w:val="1"/>
      <w:numFmt w:val="bullet"/>
      <w:lvlText w:val=""/>
      <w:lvlJc w:val="left"/>
      <w:pPr>
        <w:ind w:left="446" w:hanging="360"/>
      </w:pPr>
      <w:rPr>
        <w:rFonts w:ascii="Symbol" w:hAnsi="Symbol" w:hint="default"/>
      </w:rPr>
    </w:lvl>
    <w:lvl w:ilvl="1" w:tplc="04090003">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 w15:restartNumberingAfterBreak="0">
    <w:nsid w:val="427E28B1"/>
    <w:multiLevelType w:val="hybridMultilevel"/>
    <w:tmpl w:val="9CE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404D"/>
    <w:multiLevelType w:val="hybridMultilevel"/>
    <w:tmpl w:val="AB6CFC78"/>
    <w:lvl w:ilvl="0" w:tplc="7EDC4B88">
      <w:start w:val="1"/>
      <w:numFmt w:val="bullet"/>
      <w:lvlText w:val=""/>
      <w:lvlJc w:val="left"/>
      <w:pPr>
        <w:ind w:left="360" w:hanging="360"/>
      </w:pPr>
      <w:rPr>
        <w:rFonts w:ascii="Symbol" w:hAnsi="Symbol" w:hint="default"/>
      </w:rPr>
    </w:lvl>
    <w:lvl w:ilvl="1" w:tplc="999EBC0C">
      <w:start w:val="1"/>
      <w:numFmt w:val="bullet"/>
      <w:lvlText w:val="­"/>
      <w:lvlJc w:val="left"/>
      <w:pPr>
        <w:ind w:left="72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62CF7"/>
    <w:multiLevelType w:val="hybridMultilevel"/>
    <w:tmpl w:val="554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AB5C18"/>
    <w:multiLevelType w:val="hybridMultilevel"/>
    <w:tmpl w:val="7FA6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103A8E"/>
    <w:multiLevelType w:val="hybridMultilevel"/>
    <w:tmpl w:val="42A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A4CB8"/>
    <w:multiLevelType w:val="hybridMultilevel"/>
    <w:tmpl w:val="459E48B6"/>
    <w:lvl w:ilvl="0" w:tplc="E9724916">
      <w:start w:val="20"/>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54D70"/>
    <w:multiLevelType w:val="hybridMultilevel"/>
    <w:tmpl w:val="C9A6A158"/>
    <w:lvl w:ilvl="0" w:tplc="E0DAB8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977765">
    <w:abstractNumId w:val="7"/>
  </w:num>
  <w:num w:numId="2" w16cid:durableId="142046438">
    <w:abstractNumId w:val="6"/>
  </w:num>
  <w:num w:numId="3" w16cid:durableId="483620438">
    <w:abstractNumId w:val="2"/>
  </w:num>
  <w:num w:numId="4" w16cid:durableId="395671260">
    <w:abstractNumId w:val="1"/>
  </w:num>
  <w:num w:numId="5" w16cid:durableId="1995523608">
    <w:abstractNumId w:val="3"/>
  </w:num>
  <w:num w:numId="6" w16cid:durableId="1408647222">
    <w:abstractNumId w:val="8"/>
  </w:num>
  <w:num w:numId="7" w16cid:durableId="290521577">
    <w:abstractNumId w:val="4"/>
  </w:num>
  <w:num w:numId="8" w16cid:durableId="786433345">
    <w:abstractNumId w:val="0"/>
  </w:num>
  <w:num w:numId="9" w16cid:durableId="1665744491">
    <w:abstractNumId w:val="5"/>
  </w:num>
  <w:num w:numId="10" w16cid:durableId="2783372">
    <w:abstractNumId w:val="0"/>
  </w:num>
  <w:num w:numId="11" w16cid:durableId="127227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99"/>
    <w:rsid w:val="00002760"/>
    <w:rsid w:val="00002854"/>
    <w:rsid w:val="0000297C"/>
    <w:rsid w:val="0000308E"/>
    <w:rsid w:val="000139E1"/>
    <w:rsid w:val="000168FC"/>
    <w:rsid w:val="00021202"/>
    <w:rsid w:val="000273BC"/>
    <w:rsid w:val="00030D52"/>
    <w:rsid w:val="00031E1F"/>
    <w:rsid w:val="00032ED2"/>
    <w:rsid w:val="00040186"/>
    <w:rsid w:val="0004024E"/>
    <w:rsid w:val="0004181C"/>
    <w:rsid w:val="00044A56"/>
    <w:rsid w:val="00047E42"/>
    <w:rsid w:val="000523B3"/>
    <w:rsid w:val="000538BE"/>
    <w:rsid w:val="000554C2"/>
    <w:rsid w:val="00055961"/>
    <w:rsid w:val="00055F52"/>
    <w:rsid w:val="0005669A"/>
    <w:rsid w:val="00060652"/>
    <w:rsid w:val="00060B5C"/>
    <w:rsid w:val="00061113"/>
    <w:rsid w:val="00061127"/>
    <w:rsid w:val="000627A6"/>
    <w:rsid w:val="0006280B"/>
    <w:rsid w:val="00064B05"/>
    <w:rsid w:val="000678F8"/>
    <w:rsid w:val="00067B13"/>
    <w:rsid w:val="0007063F"/>
    <w:rsid w:val="00073B5E"/>
    <w:rsid w:val="00075D4E"/>
    <w:rsid w:val="00076C7C"/>
    <w:rsid w:val="000832CC"/>
    <w:rsid w:val="000846B2"/>
    <w:rsid w:val="00085283"/>
    <w:rsid w:val="00085427"/>
    <w:rsid w:val="00090EE5"/>
    <w:rsid w:val="00095243"/>
    <w:rsid w:val="000955EF"/>
    <w:rsid w:val="0009629A"/>
    <w:rsid w:val="000967AE"/>
    <w:rsid w:val="000A069A"/>
    <w:rsid w:val="000A0C81"/>
    <w:rsid w:val="000A6085"/>
    <w:rsid w:val="000A6A76"/>
    <w:rsid w:val="000B04B0"/>
    <w:rsid w:val="000B084D"/>
    <w:rsid w:val="000B0A09"/>
    <w:rsid w:val="000B0BD3"/>
    <w:rsid w:val="000B2AF2"/>
    <w:rsid w:val="000B531F"/>
    <w:rsid w:val="000C1B8C"/>
    <w:rsid w:val="000C3537"/>
    <w:rsid w:val="000C64B8"/>
    <w:rsid w:val="000C65A9"/>
    <w:rsid w:val="000C7F3F"/>
    <w:rsid w:val="000D12F1"/>
    <w:rsid w:val="000D178A"/>
    <w:rsid w:val="000D49FC"/>
    <w:rsid w:val="000D5CB9"/>
    <w:rsid w:val="000E2E4C"/>
    <w:rsid w:val="000E4AFF"/>
    <w:rsid w:val="000F0BFA"/>
    <w:rsid w:val="000F1288"/>
    <w:rsid w:val="000F5D0D"/>
    <w:rsid w:val="000F64EF"/>
    <w:rsid w:val="000F7E8B"/>
    <w:rsid w:val="00100344"/>
    <w:rsid w:val="00102F90"/>
    <w:rsid w:val="00105C1D"/>
    <w:rsid w:val="00107772"/>
    <w:rsid w:val="0010780A"/>
    <w:rsid w:val="00111494"/>
    <w:rsid w:val="00112420"/>
    <w:rsid w:val="00113117"/>
    <w:rsid w:val="00114B53"/>
    <w:rsid w:val="00115FAC"/>
    <w:rsid w:val="001200D6"/>
    <w:rsid w:val="001215A4"/>
    <w:rsid w:val="00121663"/>
    <w:rsid w:val="00121E0B"/>
    <w:rsid w:val="00122A85"/>
    <w:rsid w:val="00123629"/>
    <w:rsid w:val="00126934"/>
    <w:rsid w:val="00126B48"/>
    <w:rsid w:val="001316B5"/>
    <w:rsid w:val="00133BC3"/>
    <w:rsid w:val="00141EF7"/>
    <w:rsid w:val="001424C9"/>
    <w:rsid w:val="00143ADC"/>
    <w:rsid w:val="00144F99"/>
    <w:rsid w:val="00146C5B"/>
    <w:rsid w:val="0015120D"/>
    <w:rsid w:val="00152999"/>
    <w:rsid w:val="0015418B"/>
    <w:rsid w:val="0015721D"/>
    <w:rsid w:val="001579E5"/>
    <w:rsid w:val="0016203C"/>
    <w:rsid w:val="00163A9A"/>
    <w:rsid w:val="001640B1"/>
    <w:rsid w:val="0016581C"/>
    <w:rsid w:val="00167F99"/>
    <w:rsid w:val="00171C05"/>
    <w:rsid w:val="00182E87"/>
    <w:rsid w:val="001838C3"/>
    <w:rsid w:val="00185D39"/>
    <w:rsid w:val="001915E4"/>
    <w:rsid w:val="0019314F"/>
    <w:rsid w:val="0019689B"/>
    <w:rsid w:val="001A396B"/>
    <w:rsid w:val="001A4F7A"/>
    <w:rsid w:val="001B03CA"/>
    <w:rsid w:val="001B0E7C"/>
    <w:rsid w:val="001B111F"/>
    <w:rsid w:val="001B4868"/>
    <w:rsid w:val="001B5911"/>
    <w:rsid w:val="001B67BF"/>
    <w:rsid w:val="001B75C7"/>
    <w:rsid w:val="001C0378"/>
    <w:rsid w:val="001C1DFF"/>
    <w:rsid w:val="001C277A"/>
    <w:rsid w:val="001C2F11"/>
    <w:rsid w:val="001C49C3"/>
    <w:rsid w:val="001C7442"/>
    <w:rsid w:val="001D057B"/>
    <w:rsid w:val="001D1DF7"/>
    <w:rsid w:val="001D2F34"/>
    <w:rsid w:val="001D32FE"/>
    <w:rsid w:val="001D7A84"/>
    <w:rsid w:val="001D7A97"/>
    <w:rsid w:val="001E7F09"/>
    <w:rsid w:val="001F0680"/>
    <w:rsid w:val="001F176B"/>
    <w:rsid w:val="001F206B"/>
    <w:rsid w:val="001F2B41"/>
    <w:rsid w:val="001F7DC7"/>
    <w:rsid w:val="002004F4"/>
    <w:rsid w:val="00203474"/>
    <w:rsid w:val="00210445"/>
    <w:rsid w:val="00213450"/>
    <w:rsid w:val="0021436A"/>
    <w:rsid w:val="00214EE7"/>
    <w:rsid w:val="0021587F"/>
    <w:rsid w:val="00217D8B"/>
    <w:rsid w:val="00221700"/>
    <w:rsid w:val="0022206E"/>
    <w:rsid w:val="00224FDC"/>
    <w:rsid w:val="00231F1D"/>
    <w:rsid w:val="00233EB6"/>
    <w:rsid w:val="00234C1C"/>
    <w:rsid w:val="00236230"/>
    <w:rsid w:val="0023647C"/>
    <w:rsid w:val="0023658D"/>
    <w:rsid w:val="002400CF"/>
    <w:rsid w:val="002406C9"/>
    <w:rsid w:val="002410E2"/>
    <w:rsid w:val="00241E7D"/>
    <w:rsid w:val="002435EC"/>
    <w:rsid w:val="00244A89"/>
    <w:rsid w:val="002451E3"/>
    <w:rsid w:val="00247AEA"/>
    <w:rsid w:val="002540F9"/>
    <w:rsid w:val="00254F68"/>
    <w:rsid w:val="0025794A"/>
    <w:rsid w:val="00264D98"/>
    <w:rsid w:val="00265A02"/>
    <w:rsid w:val="00267F57"/>
    <w:rsid w:val="002753B8"/>
    <w:rsid w:val="00275B92"/>
    <w:rsid w:val="002769E6"/>
    <w:rsid w:val="00276EA5"/>
    <w:rsid w:val="00281877"/>
    <w:rsid w:val="00292E9E"/>
    <w:rsid w:val="00293466"/>
    <w:rsid w:val="00295197"/>
    <w:rsid w:val="00296989"/>
    <w:rsid w:val="00297D2F"/>
    <w:rsid w:val="00297FDC"/>
    <w:rsid w:val="002A4564"/>
    <w:rsid w:val="002A5F9B"/>
    <w:rsid w:val="002A7215"/>
    <w:rsid w:val="002B036E"/>
    <w:rsid w:val="002B061D"/>
    <w:rsid w:val="002B4D7C"/>
    <w:rsid w:val="002B7D1D"/>
    <w:rsid w:val="002C0C66"/>
    <w:rsid w:val="002C1B33"/>
    <w:rsid w:val="002C2DBA"/>
    <w:rsid w:val="002C4278"/>
    <w:rsid w:val="002D5102"/>
    <w:rsid w:val="002D6B0D"/>
    <w:rsid w:val="002D6B71"/>
    <w:rsid w:val="002D75EA"/>
    <w:rsid w:val="002E3BC3"/>
    <w:rsid w:val="002E6E54"/>
    <w:rsid w:val="002F1782"/>
    <w:rsid w:val="002F1968"/>
    <w:rsid w:val="002F4E85"/>
    <w:rsid w:val="002F733E"/>
    <w:rsid w:val="00300A5D"/>
    <w:rsid w:val="00306C24"/>
    <w:rsid w:val="00306F30"/>
    <w:rsid w:val="0030724D"/>
    <w:rsid w:val="003111EE"/>
    <w:rsid w:val="00311E0E"/>
    <w:rsid w:val="00314AC7"/>
    <w:rsid w:val="0031552E"/>
    <w:rsid w:val="00325E6E"/>
    <w:rsid w:val="00326B71"/>
    <w:rsid w:val="003308AF"/>
    <w:rsid w:val="00331163"/>
    <w:rsid w:val="00335F39"/>
    <w:rsid w:val="00341935"/>
    <w:rsid w:val="00344A41"/>
    <w:rsid w:val="003476D2"/>
    <w:rsid w:val="00350BDF"/>
    <w:rsid w:val="0035342F"/>
    <w:rsid w:val="00353CF2"/>
    <w:rsid w:val="0035564B"/>
    <w:rsid w:val="00356471"/>
    <w:rsid w:val="00356C44"/>
    <w:rsid w:val="003700E7"/>
    <w:rsid w:val="00376522"/>
    <w:rsid w:val="00376C4B"/>
    <w:rsid w:val="00376E3C"/>
    <w:rsid w:val="00377D0F"/>
    <w:rsid w:val="00380F4B"/>
    <w:rsid w:val="00381FCC"/>
    <w:rsid w:val="003834D2"/>
    <w:rsid w:val="003872FF"/>
    <w:rsid w:val="00387493"/>
    <w:rsid w:val="00392484"/>
    <w:rsid w:val="0039308C"/>
    <w:rsid w:val="003952CC"/>
    <w:rsid w:val="00396341"/>
    <w:rsid w:val="00396EA2"/>
    <w:rsid w:val="003A413E"/>
    <w:rsid w:val="003A4187"/>
    <w:rsid w:val="003A44C4"/>
    <w:rsid w:val="003A5117"/>
    <w:rsid w:val="003B0C73"/>
    <w:rsid w:val="003B1F5F"/>
    <w:rsid w:val="003B55CF"/>
    <w:rsid w:val="003B67C1"/>
    <w:rsid w:val="003C5C36"/>
    <w:rsid w:val="003C632C"/>
    <w:rsid w:val="003C68F1"/>
    <w:rsid w:val="003D30BB"/>
    <w:rsid w:val="003D65A7"/>
    <w:rsid w:val="003D7967"/>
    <w:rsid w:val="003E12BE"/>
    <w:rsid w:val="003E1856"/>
    <w:rsid w:val="003E2C08"/>
    <w:rsid w:val="003E2F20"/>
    <w:rsid w:val="003E3B2B"/>
    <w:rsid w:val="003E7607"/>
    <w:rsid w:val="003E782A"/>
    <w:rsid w:val="003E7EBF"/>
    <w:rsid w:val="003F2DEA"/>
    <w:rsid w:val="003F3B61"/>
    <w:rsid w:val="003F4A8C"/>
    <w:rsid w:val="003F4C49"/>
    <w:rsid w:val="003F55BE"/>
    <w:rsid w:val="0040109B"/>
    <w:rsid w:val="004011C8"/>
    <w:rsid w:val="00401F17"/>
    <w:rsid w:val="00406818"/>
    <w:rsid w:val="00410BBF"/>
    <w:rsid w:val="00411A08"/>
    <w:rsid w:val="00412B8B"/>
    <w:rsid w:val="0042155A"/>
    <w:rsid w:val="00421DF6"/>
    <w:rsid w:val="004230F2"/>
    <w:rsid w:val="00425E42"/>
    <w:rsid w:val="0042613C"/>
    <w:rsid w:val="00426229"/>
    <w:rsid w:val="00427268"/>
    <w:rsid w:val="0043494B"/>
    <w:rsid w:val="00434D3A"/>
    <w:rsid w:val="00441927"/>
    <w:rsid w:val="00443872"/>
    <w:rsid w:val="004448D4"/>
    <w:rsid w:val="00444CC0"/>
    <w:rsid w:val="00446DDA"/>
    <w:rsid w:val="004476E3"/>
    <w:rsid w:val="00447F50"/>
    <w:rsid w:val="0045032C"/>
    <w:rsid w:val="004510CE"/>
    <w:rsid w:val="0045172D"/>
    <w:rsid w:val="00451C8C"/>
    <w:rsid w:val="00460B46"/>
    <w:rsid w:val="0046184E"/>
    <w:rsid w:val="0046288F"/>
    <w:rsid w:val="00463CFA"/>
    <w:rsid w:val="00463E47"/>
    <w:rsid w:val="0046471B"/>
    <w:rsid w:val="00464894"/>
    <w:rsid w:val="00467BA1"/>
    <w:rsid w:val="004705A1"/>
    <w:rsid w:val="004726D3"/>
    <w:rsid w:val="004726E0"/>
    <w:rsid w:val="004729BB"/>
    <w:rsid w:val="00476425"/>
    <w:rsid w:val="0047687A"/>
    <w:rsid w:val="00482D09"/>
    <w:rsid w:val="00483172"/>
    <w:rsid w:val="004846E8"/>
    <w:rsid w:val="0048477F"/>
    <w:rsid w:val="0049160F"/>
    <w:rsid w:val="004939C9"/>
    <w:rsid w:val="0049459C"/>
    <w:rsid w:val="0049490B"/>
    <w:rsid w:val="0049599C"/>
    <w:rsid w:val="00497CCE"/>
    <w:rsid w:val="004A4427"/>
    <w:rsid w:val="004A44F3"/>
    <w:rsid w:val="004A60F5"/>
    <w:rsid w:val="004A7827"/>
    <w:rsid w:val="004B1ADB"/>
    <w:rsid w:val="004B2688"/>
    <w:rsid w:val="004B3D26"/>
    <w:rsid w:val="004B5012"/>
    <w:rsid w:val="004B63F0"/>
    <w:rsid w:val="004C3D4E"/>
    <w:rsid w:val="004C44B6"/>
    <w:rsid w:val="004C4A29"/>
    <w:rsid w:val="004C53B5"/>
    <w:rsid w:val="004C60CF"/>
    <w:rsid w:val="004C70FA"/>
    <w:rsid w:val="004D2065"/>
    <w:rsid w:val="004D2765"/>
    <w:rsid w:val="004D3A0A"/>
    <w:rsid w:val="004D4A5D"/>
    <w:rsid w:val="004D6356"/>
    <w:rsid w:val="004D6A17"/>
    <w:rsid w:val="004D70ED"/>
    <w:rsid w:val="004D7AFD"/>
    <w:rsid w:val="004E093F"/>
    <w:rsid w:val="004E11C0"/>
    <w:rsid w:val="004E19E4"/>
    <w:rsid w:val="004E1CC2"/>
    <w:rsid w:val="004E26CC"/>
    <w:rsid w:val="004E66DC"/>
    <w:rsid w:val="004F051F"/>
    <w:rsid w:val="004F1200"/>
    <w:rsid w:val="004F185E"/>
    <w:rsid w:val="004F2D3A"/>
    <w:rsid w:val="00501B95"/>
    <w:rsid w:val="00502C1F"/>
    <w:rsid w:val="00506254"/>
    <w:rsid w:val="00506628"/>
    <w:rsid w:val="0050726B"/>
    <w:rsid w:val="0050729C"/>
    <w:rsid w:val="005106C7"/>
    <w:rsid w:val="005108B0"/>
    <w:rsid w:val="00510B52"/>
    <w:rsid w:val="0051338A"/>
    <w:rsid w:val="00521B56"/>
    <w:rsid w:val="00524D4C"/>
    <w:rsid w:val="0052563B"/>
    <w:rsid w:val="00531144"/>
    <w:rsid w:val="00531F4D"/>
    <w:rsid w:val="00537930"/>
    <w:rsid w:val="00540F3C"/>
    <w:rsid w:val="005432E0"/>
    <w:rsid w:val="00543DD9"/>
    <w:rsid w:val="005546CF"/>
    <w:rsid w:val="00554F52"/>
    <w:rsid w:val="00562DBE"/>
    <w:rsid w:val="00567232"/>
    <w:rsid w:val="0057081D"/>
    <w:rsid w:val="005712F8"/>
    <w:rsid w:val="005737B7"/>
    <w:rsid w:val="005745EB"/>
    <w:rsid w:val="00574689"/>
    <w:rsid w:val="00576712"/>
    <w:rsid w:val="005775C3"/>
    <w:rsid w:val="00580CA9"/>
    <w:rsid w:val="00581FCF"/>
    <w:rsid w:val="0058342E"/>
    <w:rsid w:val="005835AA"/>
    <w:rsid w:val="00590A04"/>
    <w:rsid w:val="005938CB"/>
    <w:rsid w:val="00594375"/>
    <w:rsid w:val="0059460D"/>
    <w:rsid w:val="00595455"/>
    <w:rsid w:val="00595E3F"/>
    <w:rsid w:val="00596518"/>
    <w:rsid w:val="005A066D"/>
    <w:rsid w:val="005A2957"/>
    <w:rsid w:val="005A34EC"/>
    <w:rsid w:val="005A3AC9"/>
    <w:rsid w:val="005A57C9"/>
    <w:rsid w:val="005B0203"/>
    <w:rsid w:val="005B1482"/>
    <w:rsid w:val="005B44EB"/>
    <w:rsid w:val="005B4556"/>
    <w:rsid w:val="005B51F8"/>
    <w:rsid w:val="005C2AAC"/>
    <w:rsid w:val="005C4AA2"/>
    <w:rsid w:val="005C5131"/>
    <w:rsid w:val="005C6386"/>
    <w:rsid w:val="005C6428"/>
    <w:rsid w:val="005D15CA"/>
    <w:rsid w:val="005D248B"/>
    <w:rsid w:val="005D2BD4"/>
    <w:rsid w:val="005E6991"/>
    <w:rsid w:val="005E7EFC"/>
    <w:rsid w:val="005F03C6"/>
    <w:rsid w:val="005F1B27"/>
    <w:rsid w:val="005F218A"/>
    <w:rsid w:val="005F2AAC"/>
    <w:rsid w:val="005F2B23"/>
    <w:rsid w:val="005F4B94"/>
    <w:rsid w:val="005F53AB"/>
    <w:rsid w:val="005F5E2A"/>
    <w:rsid w:val="00601570"/>
    <w:rsid w:val="00602242"/>
    <w:rsid w:val="00602F72"/>
    <w:rsid w:val="006044EC"/>
    <w:rsid w:val="00607CFF"/>
    <w:rsid w:val="00607F81"/>
    <w:rsid w:val="006113E6"/>
    <w:rsid w:val="00613644"/>
    <w:rsid w:val="006143CF"/>
    <w:rsid w:val="0062269D"/>
    <w:rsid w:val="00625CC9"/>
    <w:rsid w:val="006265D4"/>
    <w:rsid w:val="00627774"/>
    <w:rsid w:val="0063065E"/>
    <w:rsid w:val="006319E5"/>
    <w:rsid w:val="0063345E"/>
    <w:rsid w:val="00637C1C"/>
    <w:rsid w:val="006415BF"/>
    <w:rsid w:val="00646508"/>
    <w:rsid w:val="0065293C"/>
    <w:rsid w:val="00652D61"/>
    <w:rsid w:val="006532F5"/>
    <w:rsid w:val="00653C0D"/>
    <w:rsid w:val="006553AE"/>
    <w:rsid w:val="00660EAB"/>
    <w:rsid w:val="00664A45"/>
    <w:rsid w:val="0066523C"/>
    <w:rsid w:val="0066548A"/>
    <w:rsid w:val="00665995"/>
    <w:rsid w:val="006668FD"/>
    <w:rsid w:val="00670D87"/>
    <w:rsid w:val="00672E77"/>
    <w:rsid w:val="00672EC5"/>
    <w:rsid w:val="00673E2F"/>
    <w:rsid w:val="00675560"/>
    <w:rsid w:val="00676085"/>
    <w:rsid w:val="006779F3"/>
    <w:rsid w:val="00680D48"/>
    <w:rsid w:val="00681250"/>
    <w:rsid w:val="006825A3"/>
    <w:rsid w:val="00683DB7"/>
    <w:rsid w:val="00683DBC"/>
    <w:rsid w:val="006850E6"/>
    <w:rsid w:val="0069774F"/>
    <w:rsid w:val="006A0980"/>
    <w:rsid w:val="006A123E"/>
    <w:rsid w:val="006A2AAC"/>
    <w:rsid w:val="006A2CDC"/>
    <w:rsid w:val="006A3717"/>
    <w:rsid w:val="006A4A06"/>
    <w:rsid w:val="006A5222"/>
    <w:rsid w:val="006B07D9"/>
    <w:rsid w:val="006B0FCD"/>
    <w:rsid w:val="006B541A"/>
    <w:rsid w:val="006B5B94"/>
    <w:rsid w:val="006B76FB"/>
    <w:rsid w:val="006C13D2"/>
    <w:rsid w:val="006C6FA7"/>
    <w:rsid w:val="006C70E0"/>
    <w:rsid w:val="006C7483"/>
    <w:rsid w:val="006C7813"/>
    <w:rsid w:val="006D0442"/>
    <w:rsid w:val="006D2E8D"/>
    <w:rsid w:val="006D4A1D"/>
    <w:rsid w:val="006D6B6A"/>
    <w:rsid w:val="006D7B8B"/>
    <w:rsid w:val="006E0D55"/>
    <w:rsid w:val="006E26F5"/>
    <w:rsid w:val="006E3195"/>
    <w:rsid w:val="006E5B28"/>
    <w:rsid w:val="006E78EA"/>
    <w:rsid w:val="006F23F0"/>
    <w:rsid w:val="006F34E1"/>
    <w:rsid w:val="006F4651"/>
    <w:rsid w:val="006F4E26"/>
    <w:rsid w:val="006F72D6"/>
    <w:rsid w:val="00703059"/>
    <w:rsid w:val="00704383"/>
    <w:rsid w:val="007047CA"/>
    <w:rsid w:val="00704C0F"/>
    <w:rsid w:val="0070508A"/>
    <w:rsid w:val="00707DEE"/>
    <w:rsid w:val="007101C4"/>
    <w:rsid w:val="00710419"/>
    <w:rsid w:val="00712848"/>
    <w:rsid w:val="00713CC4"/>
    <w:rsid w:val="0071754F"/>
    <w:rsid w:val="0072130C"/>
    <w:rsid w:val="007236C3"/>
    <w:rsid w:val="007247B3"/>
    <w:rsid w:val="00724E0B"/>
    <w:rsid w:val="0072516A"/>
    <w:rsid w:val="0072742E"/>
    <w:rsid w:val="00727482"/>
    <w:rsid w:val="00727930"/>
    <w:rsid w:val="0073012F"/>
    <w:rsid w:val="00733DE5"/>
    <w:rsid w:val="00734667"/>
    <w:rsid w:val="00736EFC"/>
    <w:rsid w:val="00737C8A"/>
    <w:rsid w:val="00740B0F"/>
    <w:rsid w:val="007417C6"/>
    <w:rsid w:val="007445FE"/>
    <w:rsid w:val="007448C1"/>
    <w:rsid w:val="00751A4D"/>
    <w:rsid w:val="0075251B"/>
    <w:rsid w:val="00755301"/>
    <w:rsid w:val="007557A2"/>
    <w:rsid w:val="00755B7E"/>
    <w:rsid w:val="00756AD3"/>
    <w:rsid w:val="00760D94"/>
    <w:rsid w:val="00766E17"/>
    <w:rsid w:val="00771F34"/>
    <w:rsid w:val="007734E4"/>
    <w:rsid w:val="00773FB3"/>
    <w:rsid w:val="00774865"/>
    <w:rsid w:val="00775F02"/>
    <w:rsid w:val="00776103"/>
    <w:rsid w:val="00781826"/>
    <w:rsid w:val="0078245B"/>
    <w:rsid w:val="00784581"/>
    <w:rsid w:val="00784FA3"/>
    <w:rsid w:val="00785AF1"/>
    <w:rsid w:val="00787888"/>
    <w:rsid w:val="00791563"/>
    <w:rsid w:val="007970C0"/>
    <w:rsid w:val="007A4022"/>
    <w:rsid w:val="007B0773"/>
    <w:rsid w:val="007B0E7A"/>
    <w:rsid w:val="007B1833"/>
    <w:rsid w:val="007B2519"/>
    <w:rsid w:val="007B3132"/>
    <w:rsid w:val="007B362D"/>
    <w:rsid w:val="007B431C"/>
    <w:rsid w:val="007B46A7"/>
    <w:rsid w:val="007B57A3"/>
    <w:rsid w:val="007B6108"/>
    <w:rsid w:val="007C11E7"/>
    <w:rsid w:val="007C1961"/>
    <w:rsid w:val="007C30FE"/>
    <w:rsid w:val="007C3C83"/>
    <w:rsid w:val="007C4414"/>
    <w:rsid w:val="007C4F15"/>
    <w:rsid w:val="007C646D"/>
    <w:rsid w:val="007C7E8F"/>
    <w:rsid w:val="007D06F3"/>
    <w:rsid w:val="007D3C32"/>
    <w:rsid w:val="007D4115"/>
    <w:rsid w:val="007D4AD0"/>
    <w:rsid w:val="007D5794"/>
    <w:rsid w:val="007D5EA2"/>
    <w:rsid w:val="007D6297"/>
    <w:rsid w:val="007D6649"/>
    <w:rsid w:val="007E0D30"/>
    <w:rsid w:val="007E5737"/>
    <w:rsid w:val="007F4463"/>
    <w:rsid w:val="007F51E6"/>
    <w:rsid w:val="007F570F"/>
    <w:rsid w:val="008005B3"/>
    <w:rsid w:val="00801809"/>
    <w:rsid w:val="00802AC4"/>
    <w:rsid w:val="0080318B"/>
    <w:rsid w:val="008036C5"/>
    <w:rsid w:val="008067E5"/>
    <w:rsid w:val="00814556"/>
    <w:rsid w:val="00816857"/>
    <w:rsid w:val="00825FD8"/>
    <w:rsid w:val="00827ABD"/>
    <w:rsid w:val="0083059B"/>
    <w:rsid w:val="00832FC6"/>
    <w:rsid w:val="00833FBC"/>
    <w:rsid w:val="0083519C"/>
    <w:rsid w:val="0083590D"/>
    <w:rsid w:val="0083607F"/>
    <w:rsid w:val="00836D35"/>
    <w:rsid w:val="008374B8"/>
    <w:rsid w:val="0084358E"/>
    <w:rsid w:val="00855C1B"/>
    <w:rsid w:val="0085645D"/>
    <w:rsid w:val="00856BFF"/>
    <w:rsid w:val="0085740F"/>
    <w:rsid w:val="00857529"/>
    <w:rsid w:val="00862A9B"/>
    <w:rsid w:val="008631C2"/>
    <w:rsid w:val="0086437B"/>
    <w:rsid w:val="00864D13"/>
    <w:rsid w:val="008656DC"/>
    <w:rsid w:val="00866CC8"/>
    <w:rsid w:val="00867BAF"/>
    <w:rsid w:val="00870215"/>
    <w:rsid w:val="00873367"/>
    <w:rsid w:val="008741E3"/>
    <w:rsid w:val="0087444E"/>
    <w:rsid w:val="0087501B"/>
    <w:rsid w:val="00876A60"/>
    <w:rsid w:val="00881F75"/>
    <w:rsid w:val="008853A3"/>
    <w:rsid w:val="008855C5"/>
    <w:rsid w:val="008941C1"/>
    <w:rsid w:val="008A22BE"/>
    <w:rsid w:val="008A3743"/>
    <w:rsid w:val="008A37B1"/>
    <w:rsid w:val="008A3CFC"/>
    <w:rsid w:val="008B1C31"/>
    <w:rsid w:val="008B5343"/>
    <w:rsid w:val="008D25CF"/>
    <w:rsid w:val="008D3643"/>
    <w:rsid w:val="008D4283"/>
    <w:rsid w:val="008D53CB"/>
    <w:rsid w:val="008E0191"/>
    <w:rsid w:val="008E3213"/>
    <w:rsid w:val="008E5A00"/>
    <w:rsid w:val="008E7A9F"/>
    <w:rsid w:val="008E7F64"/>
    <w:rsid w:val="008F0449"/>
    <w:rsid w:val="008F301D"/>
    <w:rsid w:val="008F35B1"/>
    <w:rsid w:val="008F4781"/>
    <w:rsid w:val="008F6B51"/>
    <w:rsid w:val="00901A12"/>
    <w:rsid w:val="00903BE0"/>
    <w:rsid w:val="00904059"/>
    <w:rsid w:val="00904384"/>
    <w:rsid w:val="00904C8C"/>
    <w:rsid w:val="00906291"/>
    <w:rsid w:val="00907711"/>
    <w:rsid w:val="00910600"/>
    <w:rsid w:val="00913C40"/>
    <w:rsid w:val="009203A0"/>
    <w:rsid w:val="00923E3A"/>
    <w:rsid w:val="0092750A"/>
    <w:rsid w:val="00931946"/>
    <w:rsid w:val="0093457B"/>
    <w:rsid w:val="009359DE"/>
    <w:rsid w:val="00935B7D"/>
    <w:rsid w:val="0094040C"/>
    <w:rsid w:val="0094355E"/>
    <w:rsid w:val="00944073"/>
    <w:rsid w:val="009460DB"/>
    <w:rsid w:val="009504E7"/>
    <w:rsid w:val="00950834"/>
    <w:rsid w:val="0095382E"/>
    <w:rsid w:val="0095522A"/>
    <w:rsid w:val="00955D34"/>
    <w:rsid w:val="00955E4A"/>
    <w:rsid w:val="00964921"/>
    <w:rsid w:val="009650CB"/>
    <w:rsid w:val="00965EA7"/>
    <w:rsid w:val="009705F5"/>
    <w:rsid w:val="009751FD"/>
    <w:rsid w:val="009820A3"/>
    <w:rsid w:val="009825D3"/>
    <w:rsid w:val="00990624"/>
    <w:rsid w:val="009907E5"/>
    <w:rsid w:val="009908B0"/>
    <w:rsid w:val="00996D1F"/>
    <w:rsid w:val="009A04D5"/>
    <w:rsid w:val="009A0F38"/>
    <w:rsid w:val="009A103C"/>
    <w:rsid w:val="009B19C8"/>
    <w:rsid w:val="009B2B99"/>
    <w:rsid w:val="009B432A"/>
    <w:rsid w:val="009B522A"/>
    <w:rsid w:val="009B7184"/>
    <w:rsid w:val="009C0E28"/>
    <w:rsid w:val="009C2B21"/>
    <w:rsid w:val="009C7357"/>
    <w:rsid w:val="009D1012"/>
    <w:rsid w:val="009D1525"/>
    <w:rsid w:val="009D3B7B"/>
    <w:rsid w:val="009D47ED"/>
    <w:rsid w:val="009D60D5"/>
    <w:rsid w:val="009D62A6"/>
    <w:rsid w:val="009D723C"/>
    <w:rsid w:val="009D75CC"/>
    <w:rsid w:val="009E0125"/>
    <w:rsid w:val="009E09F7"/>
    <w:rsid w:val="009E627C"/>
    <w:rsid w:val="009E63C9"/>
    <w:rsid w:val="009E7FF6"/>
    <w:rsid w:val="009F0B09"/>
    <w:rsid w:val="009F1B9B"/>
    <w:rsid w:val="009F6B8B"/>
    <w:rsid w:val="00A02BF7"/>
    <w:rsid w:val="00A04D72"/>
    <w:rsid w:val="00A07414"/>
    <w:rsid w:val="00A163F5"/>
    <w:rsid w:val="00A170D7"/>
    <w:rsid w:val="00A21272"/>
    <w:rsid w:val="00A25D05"/>
    <w:rsid w:val="00A27953"/>
    <w:rsid w:val="00A345F0"/>
    <w:rsid w:val="00A37388"/>
    <w:rsid w:val="00A402F7"/>
    <w:rsid w:val="00A41054"/>
    <w:rsid w:val="00A43DEB"/>
    <w:rsid w:val="00A459C3"/>
    <w:rsid w:val="00A460D4"/>
    <w:rsid w:val="00A46FC0"/>
    <w:rsid w:val="00A51855"/>
    <w:rsid w:val="00A5217D"/>
    <w:rsid w:val="00A561D9"/>
    <w:rsid w:val="00A56945"/>
    <w:rsid w:val="00A64848"/>
    <w:rsid w:val="00A64B8C"/>
    <w:rsid w:val="00A64ECC"/>
    <w:rsid w:val="00A700A5"/>
    <w:rsid w:val="00A715DB"/>
    <w:rsid w:val="00A72848"/>
    <w:rsid w:val="00A73F3E"/>
    <w:rsid w:val="00A745CC"/>
    <w:rsid w:val="00A74AF2"/>
    <w:rsid w:val="00A74D83"/>
    <w:rsid w:val="00A80723"/>
    <w:rsid w:val="00A809B9"/>
    <w:rsid w:val="00A8103B"/>
    <w:rsid w:val="00A85EC4"/>
    <w:rsid w:val="00A90F2C"/>
    <w:rsid w:val="00A91B3E"/>
    <w:rsid w:val="00A92A71"/>
    <w:rsid w:val="00A960B7"/>
    <w:rsid w:val="00A96316"/>
    <w:rsid w:val="00AA4526"/>
    <w:rsid w:val="00AA5736"/>
    <w:rsid w:val="00AB06CB"/>
    <w:rsid w:val="00AB4283"/>
    <w:rsid w:val="00AB55A5"/>
    <w:rsid w:val="00AB5FC7"/>
    <w:rsid w:val="00AB667E"/>
    <w:rsid w:val="00AB6AE0"/>
    <w:rsid w:val="00AB6C26"/>
    <w:rsid w:val="00AB73AC"/>
    <w:rsid w:val="00AC0B3B"/>
    <w:rsid w:val="00AC4322"/>
    <w:rsid w:val="00AC5004"/>
    <w:rsid w:val="00AC72AA"/>
    <w:rsid w:val="00AD1933"/>
    <w:rsid w:val="00AD3CE7"/>
    <w:rsid w:val="00AD4C2A"/>
    <w:rsid w:val="00AD5FF2"/>
    <w:rsid w:val="00AE1058"/>
    <w:rsid w:val="00AE193C"/>
    <w:rsid w:val="00AE379E"/>
    <w:rsid w:val="00AE447F"/>
    <w:rsid w:val="00AE7696"/>
    <w:rsid w:val="00AE7995"/>
    <w:rsid w:val="00AF0D78"/>
    <w:rsid w:val="00AF1752"/>
    <w:rsid w:val="00AF2333"/>
    <w:rsid w:val="00AF4E33"/>
    <w:rsid w:val="00AF5604"/>
    <w:rsid w:val="00AF76E1"/>
    <w:rsid w:val="00AF7B14"/>
    <w:rsid w:val="00B026A6"/>
    <w:rsid w:val="00B03DB2"/>
    <w:rsid w:val="00B03E49"/>
    <w:rsid w:val="00B047AA"/>
    <w:rsid w:val="00B05225"/>
    <w:rsid w:val="00B06A95"/>
    <w:rsid w:val="00B06AF3"/>
    <w:rsid w:val="00B07399"/>
    <w:rsid w:val="00B121BB"/>
    <w:rsid w:val="00B12614"/>
    <w:rsid w:val="00B1479A"/>
    <w:rsid w:val="00B16422"/>
    <w:rsid w:val="00B204CA"/>
    <w:rsid w:val="00B21A5B"/>
    <w:rsid w:val="00B23A47"/>
    <w:rsid w:val="00B25D8F"/>
    <w:rsid w:val="00B2710C"/>
    <w:rsid w:val="00B27478"/>
    <w:rsid w:val="00B34F76"/>
    <w:rsid w:val="00B41675"/>
    <w:rsid w:val="00B41971"/>
    <w:rsid w:val="00B4262E"/>
    <w:rsid w:val="00B43142"/>
    <w:rsid w:val="00B43D65"/>
    <w:rsid w:val="00B4457F"/>
    <w:rsid w:val="00B468D0"/>
    <w:rsid w:val="00B5054A"/>
    <w:rsid w:val="00B5073A"/>
    <w:rsid w:val="00B563E4"/>
    <w:rsid w:val="00B64259"/>
    <w:rsid w:val="00B65365"/>
    <w:rsid w:val="00B6541C"/>
    <w:rsid w:val="00B6728C"/>
    <w:rsid w:val="00B676EE"/>
    <w:rsid w:val="00B67D6E"/>
    <w:rsid w:val="00B72E20"/>
    <w:rsid w:val="00B75550"/>
    <w:rsid w:val="00B77C5A"/>
    <w:rsid w:val="00B9241A"/>
    <w:rsid w:val="00B93F2B"/>
    <w:rsid w:val="00B94D6D"/>
    <w:rsid w:val="00B94F0C"/>
    <w:rsid w:val="00B96F7B"/>
    <w:rsid w:val="00BA0926"/>
    <w:rsid w:val="00BA0CDE"/>
    <w:rsid w:val="00BA392E"/>
    <w:rsid w:val="00BA5A91"/>
    <w:rsid w:val="00BC0D04"/>
    <w:rsid w:val="00BC2456"/>
    <w:rsid w:val="00BC4DA7"/>
    <w:rsid w:val="00BC4FDD"/>
    <w:rsid w:val="00BC52C7"/>
    <w:rsid w:val="00BC58FD"/>
    <w:rsid w:val="00BD1042"/>
    <w:rsid w:val="00BD13B3"/>
    <w:rsid w:val="00BD1859"/>
    <w:rsid w:val="00BD466C"/>
    <w:rsid w:val="00BD76BB"/>
    <w:rsid w:val="00BE1E22"/>
    <w:rsid w:val="00BE390C"/>
    <w:rsid w:val="00BE4035"/>
    <w:rsid w:val="00BE6658"/>
    <w:rsid w:val="00BE759E"/>
    <w:rsid w:val="00BF1228"/>
    <w:rsid w:val="00BF3D56"/>
    <w:rsid w:val="00BF3F1D"/>
    <w:rsid w:val="00BF4BA5"/>
    <w:rsid w:val="00BF51BC"/>
    <w:rsid w:val="00BF5A3F"/>
    <w:rsid w:val="00BF61AF"/>
    <w:rsid w:val="00C02F67"/>
    <w:rsid w:val="00C033A5"/>
    <w:rsid w:val="00C05BC5"/>
    <w:rsid w:val="00C06F54"/>
    <w:rsid w:val="00C12EF1"/>
    <w:rsid w:val="00C12F57"/>
    <w:rsid w:val="00C23BBF"/>
    <w:rsid w:val="00C249B5"/>
    <w:rsid w:val="00C26187"/>
    <w:rsid w:val="00C313D9"/>
    <w:rsid w:val="00C353B5"/>
    <w:rsid w:val="00C43087"/>
    <w:rsid w:val="00C43572"/>
    <w:rsid w:val="00C44360"/>
    <w:rsid w:val="00C452E5"/>
    <w:rsid w:val="00C45CFA"/>
    <w:rsid w:val="00C4610D"/>
    <w:rsid w:val="00C461E2"/>
    <w:rsid w:val="00C509CB"/>
    <w:rsid w:val="00C5400D"/>
    <w:rsid w:val="00C54998"/>
    <w:rsid w:val="00C56F4F"/>
    <w:rsid w:val="00C5767A"/>
    <w:rsid w:val="00C6065C"/>
    <w:rsid w:val="00C6151D"/>
    <w:rsid w:val="00C638B5"/>
    <w:rsid w:val="00C6599A"/>
    <w:rsid w:val="00C675DA"/>
    <w:rsid w:val="00C71A03"/>
    <w:rsid w:val="00C73EC9"/>
    <w:rsid w:val="00C74801"/>
    <w:rsid w:val="00C77371"/>
    <w:rsid w:val="00C834C1"/>
    <w:rsid w:val="00C83758"/>
    <w:rsid w:val="00C8397A"/>
    <w:rsid w:val="00C843A9"/>
    <w:rsid w:val="00C84F39"/>
    <w:rsid w:val="00C86947"/>
    <w:rsid w:val="00C872A1"/>
    <w:rsid w:val="00C87665"/>
    <w:rsid w:val="00C9121B"/>
    <w:rsid w:val="00C91466"/>
    <w:rsid w:val="00C971AD"/>
    <w:rsid w:val="00CA5932"/>
    <w:rsid w:val="00CA6899"/>
    <w:rsid w:val="00CB0FD7"/>
    <w:rsid w:val="00CB462C"/>
    <w:rsid w:val="00CB46A6"/>
    <w:rsid w:val="00CB593A"/>
    <w:rsid w:val="00CB7961"/>
    <w:rsid w:val="00CB7B63"/>
    <w:rsid w:val="00CC0C4B"/>
    <w:rsid w:val="00CC27E4"/>
    <w:rsid w:val="00CC56C0"/>
    <w:rsid w:val="00CD271A"/>
    <w:rsid w:val="00CD3705"/>
    <w:rsid w:val="00CD5599"/>
    <w:rsid w:val="00CE507A"/>
    <w:rsid w:val="00CE540B"/>
    <w:rsid w:val="00CE6925"/>
    <w:rsid w:val="00CF2033"/>
    <w:rsid w:val="00CF2382"/>
    <w:rsid w:val="00CF3C55"/>
    <w:rsid w:val="00CF44BB"/>
    <w:rsid w:val="00CF61FE"/>
    <w:rsid w:val="00D0303E"/>
    <w:rsid w:val="00D04483"/>
    <w:rsid w:val="00D11477"/>
    <w:rsid w:val="00D12DEF"/>
    <w:rsid w:val="00D21154"/>
    <w:rsid w:val="00D21FEF"/>
    <w:rsid w:val="00D241B7"/>
    <w:rsid w:val="00D309C5"/>
    <w:rsid w:val="00D336C6"/>
    <w:rsid w:val="00D418DE"/>
    <w:rsid w:val="00D444F5"/>
    <w:rsid w:val="00D44717"/>
    <w:rsid w:val="00D44DE2"/>
    <w:rsid w:val="00D50647"/>
    <w:rsid w:val="00D5193C"/>
    <w:rsid w:val="00D51BE8"/>
    <w:rsid w:val="00D66353"/>
    <w:rsid w:val="00D668A3"/>
    <w:rsid w:val="00D67C69"/>
    <w:rsid w:val="00D70C60"/>
    <w:rsid w:val="00D75885"/>
    <w:rsid w:val="00D8421B"/>
    <w:rsid w:val="00DA3C51"/>
    <w:rsid w:val="00DA4115"/>
    <w:rsid w:val="00DA4249"/>
    <w:rsid w:val="00DA52FD"/>
    <w:rsid w:val="00DA541B"/>
    <w:rsid w:val="00DA68A4"/>
    <w:rsid w:val="00DB1EC8"/>
    <w:rsid w:val="00DC3171"/>
    <w:rsid w:val="00DC65C3"/>
    <w:rsid w:val="00DD54F7"/>
    <w:rsid w:val="00DD6025"/>
    <w:rsid w:val="00DD6A5C"/>
    <w:rsid w:val="00DD6EE4"/>
    <w:rsid w:val="00DE1CDD"/>
    <w:rsid w:val="00DE2A7C"/>
    <w:rsid w:val="00DE38AD"/>
    <w:rsid w:val="00DE418B"/>
    <w:rsid w:val="00DE41A4"/>
    <w:rsid w:val="00DF1B74"/>
    <w:rsid w:val="00DF27E0"/>
    <w:rsid w:val="00E00D86"/>
    <w:rsid w:val="00E058A5"/>
    <w:rsid w:val="00E05DDC"/>
    <w:rsid w:val="00E11D79"/>
    <w:rsid w:val="00E14C0B"/>
    <w:rsid w:val="00E15732"/>
    <w:rsid w:val="00E16828"/>
    <w:rsid w:val="00E20B50"/>
    <w:rsid w:val="00E22BE0"/>
    <w:rsid w:val="00E22F7B"/>
    <w:rsid w:val="00E24AD3"/>
    <w:rsid w:val="00E27F71"/>
    <w:rsid w:val="00E34C7E"/>
    <w:rsid w:val="00E35EE5"/>
    <w:rsid w:val="00E41B9D"/>
    <w:rsid w:val="00E439D4"/>
    <w:rsid w:val="00E54CEA"/>
    <w:rsid w:val="00E55303"/>
    <w:rsid w:val="00E55928"/>
    <w:rsid w:val="00E60678"/>
    <w:rsid w:val="00E6091B"/>
    <w:rsid w:val="00E62775"/>
    <w:rsid w:val="00E642D7"/>
    <w:rsid w:val="00E64814"/>
    <w:rsid w:val="00E652D7"/>
    <w:rsid w:val="00E6620F"/>
    <w:rsid w:val="00E7111B"/>
    <w:rsid w:val="00E71DFC"/>
    <w:rsid w:val="00E7540B"/>
    <w:rsid w:val="00E75628"/>
    <w:rsid w:val="00E804BA"/>
    <w:rsid w:val="00E80545"/>
    <w:rsid w:val="00E81672"/>
    <w:rsid w:val="00E8283D"/>
    <w:rsid w:val="00E82BA7"/>
    <w:rsid w:val="00E857DB"/>
    <w:rsid w:val="00E861BC"/>
    <w:rsid w:val="00E867BE"/>
    <w:rsid w:val="00E869F4"/>
    <w:rsid w:val="00E87D31"/>
    <w:rsid w:val="00E90C74"/>
    <w:rsid w:val="00E912D3"/>
    <w:rsid w:val="00E92671"/>
    <w:rsid w:val="00E95ED9"/>
    <w:rsid w:val="00E96968"/>
    <w:rsid w:val="00EA4411"/>
    <w:rsid w:val="00EB336A"/>
    <w:rsid w:val="00EB5AA6"/>
    <w:rsid w:val="00EB70EA"/>
    <w:rsid w:val="00EB76F6"/>
    <w:rsid w:val="00EC03FC"/>
    <w:rsid w:val="00EC0B0E"/>
    <w:rsid w:val="00EC7ACF"/>
    <w:rsid w:val="00ED0AA7"/>
    <w:rsid w:val="00ED7198"/>
    <w:rsid w:val="00EE1E4B"/>
    <w:rsid w:val="00EE22D3"/>
    <w:rsid w:val="00EE4A58"/>
    <w:rsid w:val="00EE5BE9"/>
    <w:rsid w:val="00EF1C6A"/>
    <w:rsid w:val="00EF436C"/>
    <w:rsid w:val="00EF50B0"/>
    <w:rsid w:val="00EF5581"/>
    <w:rsid w:val="00F00926"/>
    <w:rsid w:val="00F01491"/>
    <w:rsid w:val="00F02D8B"/>
    <w:rsid w:val="00F03DD1"/>
    <w:rsid w:val="00F055F2"/>
    <w:rsid w:val="00F05852"/>
    <w:rsid w:val="00F05902"/>
    <w:rsid w:val="00F05D4C"/>
    <w:rsid w:val="00F0780F"/>
    <w:rsid w:val="00F07B87"/>
    <w:rsid w:val="00F11476"/>
    <w:rsid w:val="00F1324C"/>
    <w:rsid w:val="00F1644D"/>
    <w:rsid w:val="00F203C6"/>
    <w:rsid w:val="00F20854"/>
    <w:rsid w:val="00F222DB"/>
    <w:rsid w:val="00F22B1E"/>
    <w:rsid w:val="00F24AC4"/>
    <w:rsid w:val="00F24C0A"/>
    <w:rsid w:val="00F26C90"/>
    <w:rsid w:val="00F26F57"/>
    <w:rsid w:val="00F3100F"/>
    <w:rsid w:val="00F3220F"/>
    <w:rsid w:val="00F340D7"/>
    <w:rsid w:val="00F4124F"/>
    <w:rsid w:val="00F41CEE"/>
    <w:rsid w:val="00F42F39"/>
    <w:rsid w:val="00F434DC"/>
    <w:rsid w:val="00F43ABA"/>
    <w:rsid w:val="00F44DC1"/>
    <w:rsid w:val="00F4678C"/>
    <w:rsid w:val="00F50A8E"/>
    <w:rsid w:val="00F544B9"/>
    <w:rsid w:val="00F5596F"/>
    <w:rsid w:val="00F55F6E"/>
    <w:rsid w:val="00F56917"/>
    <w:rsid w:val="00F60808"/>
    <w:rsid w:val="00F61554"/>
    <w:rsid w:val="00F63953"/>
    <w:rsid w:val="00F6786A"/>
    <w:rsid w:val="00F67DC1"/>
    <w:rsid w:val="00F70825"/>
    <w:rsid w:val="00F7085F"/>
    <w:rsid w:val="00F723BD"/>
    <w:rsid w:val="00F734C7"/>
    <w:rsid w:val="00F74144"/>
    <w:rsid w:val="00F74622"/>
    <w:rsid w:val="00F753B0"/>
    <w:rsid w:val="00F83D62"/>
    <w:rsid w:val="00F8468E"/>
    <w:rsid w:val="00F85013"/>
    <w:rsid w:val="00F91FCC"/>
    <w:rsid w:val="00F92BB2"/>
    <w:rsid w:val="00F95D75"/>
    <w:rsid w:val="00F9621A"/>
    <w:rsid w:val="00F964F6"/>
    <w:rsid w:val="00F96DF9"/>
    <w:rsid w:val="00FA231D"/>
    <w:rsid w:val="00FA6597"/>
    <w:rsid w:val="00FB1A48"/>
    <w:rsid w:val="00FB37CC"/>
    <w:rsid w:val="00FB5C5B"/>
    <w:rsid w:val="00FB7260"/>
    <w:rsid w:val="00FB733B"/>
    <w:rsid w:val="00FC2960"/>
    <w:rsid w:val="00FC4CD1"/>
    <w:rsid w:val="00FC70B6"/>
    <w:rsid w:val="00FC71E0"/>
    <w:rsid w:val="00FD1C69"/>
    <w:rsid w:val="00FD47FB"/>
    <w:rsid w:val="00FD49A2"/>
    <w:rsid w:val="00FD56D7"/>
    <w:rsid w:val="00FD6197"/>
    <w:rsid w:val="00FD7AA9"/>
    <w:rsid w:val="00FD7FD1"/>
    <w:rsid w:val="00FE1F12"/>
    <w:rsid w:val="00FE4DB5"/>
    <w:rsid w:val="00FE6B9A"/>
    <w:rsid w:val="00FE786C"/>
    <w:rsid w:val="00FF128D"/>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B3466"/>
  <w15:docId w15:val="{8C6C5F79-5ADC-4970-9918-B68EF068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1F"/>
    <w:pPr>
      <w:ind w:left="720"/>
      <w:contextualSpacing/>
    </w:pPr>
  </w:style>
  <w:style w:type="table" w:styleId="TableGrid">
    <w:name w:val="Table Grid"/>
    <w:basedOn w:val="TableNormal"/>
    <w:uiPriority w:val="59"/>
    <w:rsid w:val="00D0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72A1"/>
    <w:rPr>
      <w:b/>
      <w:bCs/>
    </w:rPr>
  </w:style>
  <w:style w:type="paragraph" w:styleId="BalloonText">
    <w:name w:val="Balloon Text"/>
    <w:basedOn w:val="Normal"/>
    <w:link w:val="BalloonTextChar"/>
    <w:uiPriority w:val="99"/>
    <w:semiHidden/>
    <w:unhideWhenUsed/>
    <w:rsid w:val="0071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CC4"/>
    <w:rPr>
      <w:rFonts w:ascii="Tahoma" w:hAnsi="Tahoma" w:cs="Tahoma"/>
      <w:sz w:val="16"/>
      <w:szCs w:val="16"/>
    </w:rPr>
  </w:style>
  <w:style w:type="paragraph" w:styleId="Header">
    <w:name w:val="header"/>
    <w:basedOn w:val="Normal"/>
    <w:link w:val="HeaderChar"/>
    <w:uiPriority w:val="99"/>
    <w:unhideWhenUsed/>
    <w:rsid w:val="0023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1C"/>
  </w:style>
  <w:style w:type="paragraph" w:styleId="Footer">
    <w:name w:val="footer"/>
    <w:basedOn w:val="Normal"/>
    <w:link w:val="FooterChar"/>
    <w:uiPriority w:val="99"/>
    <w:unhideWhenUsed/>
    <w:rsid w:val="0023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1C"/>
  </w:style>
  <w:style w:type="character" w:styleId="Hyperlink">
    <w:name w:val="Hyperlink"/>
    <w:basedOn w:val="DefaultParagraphFont"/>
    <w:uiPriority w:val="99"/>
    <w:unhideWhenUsed/>
    <w:rsid w:val="00A56945"/>
    <w:rPr>
      <w:color w:val="0000FF" w:themeColor="hyperlink"/>
      <w:u w:val="single"/>
    </w:rPr>
  </w:style>
  <w:style w:type="paragraph" w:styleId="PlainText">
    <w:name w:val="Plain Text"/>
    <w:basedOn w:val="Normal"/>
    <w:link w:val="PlainTextChar"/>
    <w:uiPriority w:val="99"/>
    <w:unhideWhenUsed/>
    <w:rsid w:val="00A56945"/>
    <w:pPr>
      <w:spacing w:after="0" w:line="240" w:lineRule="auto"/>
    </w:pPr>
    <w:rPr>
      <w:szCs w:val="21"/>
    </w:rPr>
  </w:style>
  <w:style w:type="character" w:customStyle="1" w:styleId="PlainTextChar">
    <w:name w:val="Plain Text Char"/>
    <w:basedOn w:val="DefaultParagraphFont"/>
    <w:link w:val="PlainText"/>
    <w:uiPriority w:val="99"/>
    <w:rsid w:val="00A56945"/>
    <w:rPr>
      <w:szCs w:val="21"/>
    </w:rPr>
  </w:style>
  <w:style w:type="paragraph" w:customStyle="1" w:styleId="Pa26">
    <w:name w:val="Pa26"/>
    <w:basedOn w:val="Normal"/>
    <w:next w:val="Normal"/>
    <w:uiPriority w:val="99"/>
    <w:rsid w:val="006D4A1D"/>
    <w:pPr>
      <w:autoSpaceDE w:val="0"/>
      <w:autoSpaceDN w:val="0"/>
      <w:adjustRightInd w:val="0"/>
      <w:spacing w:after="0" w:line="161" w:lineRule="atLeast"/>
    </w:pPr>
    <w:rPr>
      <w:rFonts w:ascii="Frutiger 47LightCn" w:hAnsi="Frutiger 47LightCn"/>
      <w:sz w:val="24"/>
      <w:szCs w:val="24"/>
    </w:rPr>
  </w:style>
  <w:style w:type="character" w:styleId="CommentReference">
    <w:name w:val="annotation reference"/>
    <w:basedOn w:val="DefaultParagraphFont"/>
    <w:uiPriority w:val="99"/>
    <w:semiHidden/>
    <w:unhideWhenUsed/>
    <w:rsid w:val="00061113"/>
    <w:rPr>
      <w:sz w:val="16"/>
      <w:szCs w:val="16"/>
    </w:rPr>
  </w:style>
  <w:style w:type="paragraph" w:styleId="CommentText">
    <w:name w:val="annotation text"/>
    <w:basedOn w:val="Normal"/>
    <w:link w:val="CommentTextChar"/>
    <w:uiPriority w:val="99"/>
    <w:semiHidden/>
    <w:unhideWhenUsed/>
    <w:rsid w:val="00061113"/>
    <w:pPr>
      <w:spacing w:line="240" w:lineRule="auto"/>
    </w:pPr>
    <w:rPr>
      <w:sz w:val="20"/>
      <w:szCs w:val="20"/>
    </w:rPr>
  </w:style>
  <w:style w:type="character" w:customStyle="1" w:styleId="CommentTextChar">
    <w:name w:val="Comment Text Char"/>
    <w:basedOn w:val="DefaultParagraphFont"/>
    <w:link w:val="CommentText"/>
    <w:uiPriority w:val="99"/>
    <w:semiHidden/>
    <w:rsid w:val="00061113"/>
    <w:rPr>
      <w:sz w:val="20"/>
      <w:szCs w:val="20"/>
    </w:rPr>
  </w:style>
  <w:style w:type="paragraph" w:styleId="CommentSubject">
    <w:name w:val="annotation subject"/>
    <w:basedOn w:val="CommentText"/>
    <w:next w:val="CommentText"/>
    <w:link w:val="CommentSubjectChar"/>
    <w:uiPriority w:val="99"/>
    <w:semiHidden/>
    <w:unhideWhenUsed/>
    <w:rsid w:val="00061113"/>
    <w:rPr>
      <w:b/>
      <w:bCs/>
    </w:rPr>
  </w:style>
  <w:style w:type="character" w:customStyle="1" w:styleId="CommentSubjectChar">
    <w:name w:val="Comment Subject Char"/>
    <w:basedOn w:val="CommentTextChar"/>
    <w:link w:val="CommentSubject"/>
    <w:uiPriority w:val="99"/>
    <w:semiHidden/>
    <w:rsid w:val="00061113"/>
    <w:rPr>
      <w:b/>
      <w:bCs/>
      <w:sz w:val="20"/>
      <w:szCs w:val="20"/>
    </w:rPr>
  </w:style>
  <w:style w:type="table" w:customStyle="1" w:styleId="TableGrid1">
    <w:name w:val="Table Grid1"/>
    <w:basedOn w:val="TableNormal"/>
    <w:next w:val="TableGrid"/>
    <w:uiPriority w:val="59"/>
    <w:rsid w:val="00875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756AD3"/>
    <w:pPr>
      <w:autoSpaceDE w:val="0"/>
      <w:autoSpaceDN w:val="0"/>
      <w:adjustRightInd w:val="0"/>
      <w:spacing w:after="0" w:line="161" w:lineRule="atLeast"/>
    </w:pPr>
    <w:rPr>
      <w:rFonts w:ascii="Roboto Condensed Light" w:hAnsi="Roboto Condensed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638">
      <w:bodyDiv w:val="1"/>
      <w:marLeft w:val="0"/>
      <w:marRight w:val="0"/>
      <w:marTop w:val="0"/>
      <w:marBottom w:val="0"/>
      <w:divBdr>
        <w:top w:val="none" w:sz="0" w:space="0" w:color="auto"/>
        <w:left w:val="none" w:sz="0" w:space="0" w:color="auto"/>
        <w:bottom w:val="none" w:sz="0" w:space="0" w:color="auto"/>
        <w:right w:val="none" w:sz="0" w:space="0" w:color="auto"/>
      </w:divBdr>
    </w:div>
    <w:div w:id="39794519">
      <w:bodyDiv w:val="1"/>
      <w:marLeft w:val="0"/>
      <w:marRight w:val="0"/>
      <w:marTop w:val="0"/>
      <w:marBottom w:val="0"/>
      <w:divBdr>
        <w:top w:val="none" w:sz="0" w:space="0" w:color="auto"/>
        <w:left w:val="none" w:sz="0" w:space="0" w:color="auto"/>
        <w:bottom w:val="none" w:sz="0" w:space="0" w:color="auto"/>
        <w:right w:val="none" w:sz="0" w:space="0" w:color="auto"/>
      </w:divBdr>
    </w:div>
    <w:div w:id="52051496">
      <w:bodyDiv w:val="1"/>
      <w:marLeft w:val="0"/>
      <w:marRight w:val="0"/>
      <w:marTop w:val="0"/>
      <w:marBottom w:val="0"/>
      <w:divBdr>
        <w:top w:val="none" w:sz="0" w:space="0" w:color="auto"/>
        <w:left w:val="none" w:sz="0" w:space="0" w:color="auto"/>
        <w:bottom w:val="none" w:sz="0" w:space="0" w:color="auto"/>
        <w:right w:val="none" w:sz="0" w:space="0" w:color="auto"/>
      </w:divBdr>
    </w:div>
    <w:div w:id="175730180">
      <w:bodyDiv w:val="1"/>
      <w:marLeft w:val="0"/>
      <w:marRight w:val="0"/>
      <w:marTop w:val="0"/>
      <w:marBottom w:val="0"/>
      <w:divBdr>
        <w:top w:val="none" w:sz="0" w:space="0" w:color="auto"/>
        <w:left w:val="none" w:sz="0" w:space="0" w:color="auto"/>
        <w:bottom w:val="none" w:sz="0" w:space="0" w:color="auto"/>
        <w:right w:val="none" w:sz="0" w:space="0" w:color="auto"/>
      </w:divBdr>
    </w:div>
    <w:div w:id="236139569">
      <w:bodyDiv w:val="1"/>
      <w:marLeft w:val="0"/>
      <w:marRight w:val="0"/>
      <w:marTop w:val="0"/>
      <w:marBottom w:val="0"/>
      <w:divBdr>
        <w:top w:val="none" w:sz="0" w:space="0" w:color="auto"/>
        <w:left w:val="none" w:sz="0" w:space="0" w:color="auto"/>
        <w:bottom w:val="none" w:sz="0" w:space="0" w:color="auto"/>
        <w:right w:val="none" w:sz="0" w:space="0" w:color="auto"/>
      </w:divBdr>
    </w:div>
    <w:div w:id="239751521">
      <w:bodyDiv w:val="1"/>
      <w:marLeft w:val="0"/>
      <w:marRight w:val="0"/>
      <w:marTop w:val="0"/>
      <w:marBottom w:val="0"/>
      <w:divBdr>
        <w:top w:val="none" w:sz="0" w:space="0" w:color="auto"/>
        <w:left w:val="none" w:sz="0" w:space="0" w:color="auto"/>
        <w:bottom w:val="none" w:sz="0" w:space="0" w:color="auto"/>
        <w:right w:val="none" w:sz="0" w:space="0" w:color="auto"/>
      </w:divBdr>
    </w:div>
    <w:div w:id="381096735">
      <w:bodyDiv w:val="1"/>
      <w:marLeft w:val="0"/>
      <w:marRight w:val="0"/>
      <w:marTop w:val="0"/>
      <w:marBottom w:val="0"/>
      <w:divBdr>
        <w:top w:val="none" w:sz="0" w:space="0" w:color="auto"/>
        <w:left w:val="none" w:sz="0" w:space="0" w:color="auto"/>
        <w:bottom w:val="none" w:sz="0" w:space="0" w:color="auto"/>
        <w:right w:val="none" w:sz="0" w:space="0" w:color="auto"/>
      </w:divBdr>
    </w:div>
    <w:div w:id="387074200">
      <w:bodyDiv w:val="1"/>
      <w:marLeft w:val="0"/>
      <w:marRight w:val="0"/>
      <w:marTop w:val="0"/>
      <w:marBottom w:val="0"/>
      <w:divBdr>
        <w:top w:val="none" w:sz="0" w:space="0" w:color="auto"/>
        <w:left w:val="none" w:sz="0" w:space="0" w:color="auto"/>
        <w:bottom w:val="none" w:sz="0" w:space="0" w:color="auto"/>
        <w:right w:val="none" w:sz="0" w:space="0" w:color="auto"/>
      </w:divBdr>
    </w:div>
    <w:div w:id="406347831">
      <w:bodyDiv w:val="1"/>
      <w:marLeft w:val="0"/>
      <w:marRight w:val="0"/>
      <w:marTop w:val="0"/>
      <w:marBottom w:val="0"/>
      <w:divBdr>
        <w:top w:val="none" w:sz="0" w:space="0" w:color="auto"/>
        <w:left w:val="none" w:sz="0" w:space="0" w:color="auto"/>
        <w:bottom w:val="none" w:sz="0" w:space="0" w:color="auto"/>
        <w:right w:val="none" w:sz="0" w:space="0" w:color="auto"/>
      </w:divBdr>
    </w:div>
    <w:div w:id="437798337">
      <w:bodyDiv w:val="1"/>
      <w:marLeft w:val="0"/>
      <w:marRight w:val="0"/>
      <w:marTop w:val="0"/>
      <w:marBottom w:val="0"/>
      <w:divBdr>
        <w:top w:val="none" w:sz="0" w:space="0" w:color="auto"/>
        <w:left w:val="none" w:sz="0" w:space="0" w:color="auto"/>
        <w:bottom w:val="none" w:sz="0" w:space="0" w:color="auto"/>
        <w:right w:val="none" w:sz="0" w:space="0" w:color="auto"/>
      </w:divBdr>
    </w:div>
    <w:div w:id="478569707">
      <w:bodyDiv w:val="1"/>
      <w:marLeft w:val="0"/>
      <w:marRight w:val="0"/>
      <w:marTop w:val="0"/>
      <w:marBottom w:val="0"/>
      <w:divBdr>
        <w:top w:val="none" w:sz="0" w:space="0" w:color="auto"/>
        <w:left w:val="none" w:sz="0" w:space="0" w:color="auto"/>
        <w:bottom w:val="none" w:sz="0" w:space="0" w:color="auto"/>
        <w:right w:val="none" w:sz="0" w:space="0" w:color="auto"/>
      </w:divBdr>
    </w:div>
    <w:div w:id="538392968">
      <w:bodyDiv w:val="1"/>
      <w:marLeft w:val="0"/>
      <w:marRight w:val="0"/>
      <w:marTop w:val="0"/>
      <w:marBottom w:val="0"/>
      <w:divBdr>
        <w:top w:val="none" w:sz="0" w:space="0" w:color="auto"/>
        <w:left w:val="none" w:sz="0" w:space="0" w:color="auto"/>
        <w:bottom w:val="none" w:sz="0" w:space="0" w:color="auto"/>
        <w:right w:val="none" w:sz="0" w:space="0" w:color="auto"/>
      </w:divBdr>
    </w:div>
    <w:div w:id="558829140">
      <w:bodyDiv w:val="1"/>
      <w:marLeft w:val="0"/>
      <w:marRight w:val="0"/>
      <w:marTop w:val="0"/>
      <w:marBottom w:val="0"/>
      <w:divBdr>
        <w:top w:val="none" w:sz="0" w:space="0" w:color="auto"/>
        <w:left w:val="none" w:sz="0" w:space="0" w:color="auto"/>
        <w:bottom w:val="none" w:sz="0" w:space="0" w:color="auto"/>
        <w:right w:val="none" w:sz="0" w:space="0" w:color="auto"/>
      </w:divBdr>
    </w:div>
    <w:div w:id="565846478">
      <w:bodyDiv w:val="1"/>
      <w:marLeft w:val="0"/>
      <w:marRight w:val="0"/>
      <w:marTop w:val="0"/>
      <w:marBottom w:val="0"/>
      <w:divBdr>
        <w:top w:val="none" w:sz="0" w:space="0" w:color="auto"/>
        <w:left w:val="none" w:sz="0" w:space="0" w:color="auto"/>
        <w:bottom w:val="none" w:sz="0" w:space="0" w:color="auto"/>
        <w:right w:val="none" w:sz="0" w:space="0" w:color="auto"/>
      </w:divBdr>
    </w:div>
    <w:div w:id="586353948">
      <w:bodyDiv w:val="1"/>
      <w:marLeft w:val="0"/>
      <w:marRight w:val="0"/>
      <w:marTop w:val="0"/>
      <w:marBottom w:val="0"/>
      <w:divBdr>
        <w:top w:val="none" w:sz="0" w:space="0" w:color="auto"/>
        <w:left w:val="none" w:sz="0" w:space="0" w:color="auto"/>
        <w:bottom w:val="none" w:sz="0" w:space="0" w:color="auto"/>
        <w:right w:val="none" w:sz="0" w:space="0" w:color="auto"/>
      </w:divBdr>
    </w:div>
    <w:div w:id="658001500">
      <w:bodyDiv w:val="1"/>
      <w:marLeft w:val="0"/>
      <w:marRight w:val="0"/>
      <w:marTop w:val="0"/>
      <w:marBottom w:val="0"/>
      <w:divBdr>
        <w:top w:val="none" w:sz="0" w:space="0" w:color="auto"/>
        <w:left w:val="none" w:sz="0" w:space="0" w:color="auto"/>
        <w:bottom w:val="none" w:sz="0" w:space="0" w:color="auto"/>
        <w:right w:val="none" w:sz="0" w:space="0" w:color="auto"/>
      </w:divBdr>
    </w:div>
    <w:div w:id="805659141">
      <w:bodyDiv w:val="1"/>
      <w:marLeft w:val="0"/>
      <w:marRight w:val="0"/>
      <w:marTop w:val="0"/>
      <w:marBottom w:val="0"/>
      <w:divBdr>
        <w:top w:val="none" w:sz="0" w:space="0" w:color="auto"/>
        <w:left w:val="none" w:sz="0" w:space="0" w:color="auto"/>
        <w:bottom w:val="none" w:sz="0" w:space="0" w:color="auto"/>
        <w:right w:val="none" w:sz="0" w:space="0" w:color="auto"/>
      </w:divBdr>
    </w:div>
    <w:div w:id="810295532">
      <w:bodyDiv w:val="1"/>
      <w:marLeft w:val="0"/>
      <w:marRight w:val="0"/>
      <w:marTop w:val="0"/>
      <w:marBottom w:val="0"/>
      <w:divBdr>
        <w:top w:val="none" w:sz="0" w:space="0" w:color="auto"/>
        <w:left w:val="none" w:sz="0" w:space="0" w:color="auto"/>
        <w:bottom w:val="none" w:sz="0" w:space="0" w:color="auto"/>
        <w:right w:val="none" w:sz="0" w:space="0" w:color="auto"/>
      </w:divBdr>
    </w:div>
    <w:div w:id="875894717">
      <w:bodyDiv w:val="1"/>
      <w:marLeft w:val="0"/>
      <w:marRight w:val="0"/>
      <w:marTop w:val="0"/>
      <w:marBottom w:val="0"/>
      <w:divBdr>
        <w:top w:val="none" w:sz="0" w:space="0" w:color="auto"/>
        <w:left w:val="none" w:sz="0" w:space="0" w:color="auto"/>
        <w:bottom w:val="none" w:sz="0" w:space="0" w:color="auto"/>
        <w:right w:val="none" w:sz="0" w:space="0" w:color="auto"/>
      </w:divBdr>
    </w:div>
    <w:div w:id="916399219">
      <w:bodyDiv w:val="1"/>
      <w:marLeft w:val="0"/>
      <w:marRight w:val="0"/>
      <w:marTop w:val="0"/>
      <w:marBottom w:val="0"/>
      <w:divBdr>
        <w:top w:val="none" w:sz="0" w:space="0" w:color="auto"/>
        <w:left w:val="none" w:sz="0" w:space="0" w:color="auto"/>
        <w:bottom w:val="none" w:sz="0" w:space="0" w:color="auto"/>
        <w:right w:val="none" w:sz="0" w:space="0" w:color="auto"/>
      </w:divBdr>
    </w:div>
    <w:div w:id="956760454">
      <w:bodyDiv w:val="1"/>
      <w:marLeft w:val="0"/>
      <w:marRight w:val="0"/>
      <w:marTop w:val="0"/>
      <w:marBottom w:val="0"/>
      <w:divBdr>
        <w:top w:val="none" w:sz="0" w:space="0" w:color="auto"/>
        <w:left w:val="none" w:sz="0" w:space="0" w:color="auto"/>
        <w:bottom w:val="none" w:sz="0" w:space="0" w:color="auto"/>
        <w:right w:val="none" w:sz="0" w:space="0" w:color="auto"/>
      </w:divBdr>
    </w:div>
    <w:div w:id="1180268640">
      <w:bodyDiv w:val="1"/>
      <w:marLeft w:val="0"/>
      <w:marRight w:val="0"/>
      <w:marTop w:val="0"/>
      <w:marBottom w:val="0"/>
      <w:divBdr>
        <w:top w:val="none" w:sz="0" w:space="0" w:color="auto"/>
        <w:left w:val="none" w:sz="0" w:space="0" w:color="auto"/>
        <w:bottom w:val="none" w:sz="0" w:space="0" w:color="auto"/>
        <w:right w:val="none" w:sz="0" w:space="0" w:color="auto"/>
      </w:divBdr>
    </w:div>
    <w:div w:id="1346244947">
      <w:bodyDiv w:val="1"/>
      <w:marLeft w:val="0"/>
      <w:marRight w:val="0"/>
      <w:marTop w:val="0"/>
      <w:marBottom w:val="0"/>
      <w:divBdr>
        <w:top w:val="none" w:sz="0" w:space="0" w:color="auto"/>
        <w:left w:val="none" w:sz="0" w:space="0" w:color="auto"/>
        <w:bottom w:val="none" w:sz="0" w:space="0" w:color="auto"/>
        <w:right w:val="none" w:sz="0" w:space="0" w:color="auto"/>
      </w:divBdr>
    </w:div>
    <w:div w:id="1422407058">
      <w:bodyDiv w:val="1"/>
      <w:marLeft w:val="0"/>
      <w:marRight w:val="0"/>
      <w:marTop w:val="0"/>
      <w:marBottom w:val="0"/>
      <w:divBdr>
        <w:top w:val="none" w:sz="0" w:space="0" w:color="auto"/>
        <w:left w:val="none" w:sz="0" w:space="0" w:color="auto"/>
        <w:bottom w:val="none" w:sz="0" w:space="0" w:color="auto"/>
        <w:right w:val="none" w:sz="0" w:space="0" w:color="auto"/>
      </w:divBdr>
    </w:div>
    <w:div w:id="1593784751">
      <w:bodyDiv w:val="1"/>
      <w:marLeft w:val="0"/>
      <w:marRight w:val="0"/>
      <w:marTop w:val="0"/>
      <w:marBottom w:val="0"/>
      <w:divBdr>
        <w:top w:val="none" w:sz="0" w:space="0" w:color="auto"/>
        <w:left w:val="none" w:sz="0" w:space="0" w:color="auto"/>
        <w:bottom w:val="none" w:sz="0" w:space="0" w:color="auto"/>
        <w:right w:val="none" w:sz="0" w:space="0" w:color="auto"/>
      </w:divBdr>
    </w:div>
    <w:div w:id="1607417983">
      <w:bodyDiv w:val="1"/>
      <w:marLeft w:val="0"/>
      <w:marRight w:val="0"/>
      <w:marTop w:val="0"/>
      <w:marBottom w:val="0"/>
      <w:divBdr>
        <w:top w:val="none" w:sz="0" w:space="0" w:color="auto"/>
        <w:left w:val="none" w:sz="0" w:space="0" w:color="auto"/>
        <w:bottom w:val="none" w:sz="0" w:space="0" w:color="auto"/>
        <w:right w:val="none" w:sz="0" w:space="0" w:color="auto"/>
      </w:divBdr>
    </w:div>
    <w:div w:id="1629779035">
      <w:bodyDiv w:val="1"/>
      <w:marLeft w:val="0"/>
      <w:marRight w:val="0"/>
      <w:marTop w:val="0"/>
      <w:marBottom w:val="0"/>
      <w:divBdr>
        <w:top w:val="none" w:sz="0" w:space="0" w:color="auto"/>
        <w:left w:val="none" w:sz="0" w:space="0" w:color="auto"/>
        <w:bottom w:val="none" w:sz="0" w:space="0" w:color="auto"/>
        <w:right w:val="none" w:sz="0" w:space="0" w:color="auto"/>
      </w:divBdr>
    </w:div>
    <w:div w:id="1898008871">
      <w:bodyDiv w:val="1"/>
      <w:marLeft w:val="0"/>
      <w:marRight w:val="0"/>
      <w:marTop w:val="0"/>
      <w:marBottom w:val="0"/>
      <w:divBdr>
        <w:top w:val="none" w:sz="0" w:space="0" w:color="auto"/>
        <w:left w:val="none" w:sz="0" w:space="0" w:color="auto"/>
        <w:bottom w:val="none" w:sz="0" w:space="0" w:color="auto"/>
        <w:right w:val="none" w:sz="0" w:space="0" w:color="auto"/>
      </w:divBdr>
    </w:div>
    <w:div w:id="1988317355">
      <w:bodyDiv w:val="1"/>
      <w:marLeft w:val="0"/>
      <w:marRight w:val="0"/>
      <w:marTop w:val="0"/>
      <w:marBottom w:val="0"/>
      <w:divBdr>
        <w:top w:val="none" w:sz="0" w:space="0" w:color="auto"/>
        <w:left w:val="none" w:sz="0" w:space="0" w:color="auto"/>
        <w:bottom w:val="none" w:sz="0" w:space="0" w:color="auto"/>
        <w:right w:val="none" w:sz="0" w:space="0" w:color="auto"/>
      </w:divBdr>
      <w:divsChild>
        <w:div w:id="1600988349">
          <w:marLeft w:val="0"/>
          <w:marRight w:val="0"/>
          <w:marTop w:val="0"/>
          <w:marBottom w:val="0"/>
          <w:divBdr>
            <w:top w:val="none" w:sz="0" w:space="0" w:color="auto"/>
            <w:left w:val="none" w:sz="0" w:space="0" w:color="auto"/>
            <w:bottom w:val="none" w:sz="0" w:space="0" w:color="auto"/>
            <w:right w:val="none" w:sz="0" w:space="0" w:color="auto"/>
          </w:divBdr>
        </w:div>
      </w:divsChild>
    </w:div>
    <w:div w:id="2015836011">
      <w:bodyDiv w:val="1"/>
      <w:marLeft w:val="0"/>
      <w:marRight w:val="0"/>
      <w:marTop w:val="0"/>
      <w:marBottom w:val="0"/>
      <w:divBdr>
        <w:top w:val="none" w:sz="0" w:space="0" w:color="auto"/>
        <w:left w:val="none" w:sz="0" w:space="0" w:color="auto"/>
        <w:bottom w:val="none" w:sz="0" w:space="0" w:color="auto"/>
        <w:right w:val="none" w:sz="0" w:space="0" w:color="auto"/>
      </w:divBdr>
    </w:div>
    <w:div w:id="2031829418">
      <w:bodyDiv w:val="1"/>
      <w:marLeft w:val="0"/>
      <w:marRight w:val="0"/>
      <w:marTop w:val="0"/>
      <w:marBottom w:val="0"/>
      <w:divBdr>
        <w:top w:val="none" w:sz="0" w:space="0" w:color="auto"/>
        <w:left w:val="none" w:sz="0" w:space="0" w:color="auto"/>
        <w:bottom w:val="none" w:sz="0" w:space="0" w:color="auto"/>
        <w:right w:val="none" w:sz="0" w:space="0" w:color="auto"/>
      </w:divBdr>
    </w:div>
    <w:div w:id="2142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401k\401KRFS\404a%20TEMPLATES%20&amp;%20TOOLS%20-%20Changes%20Notices,%20Full%20Disclosures\Alliance%20404a%20Fee%20Disclosure%20YourPath%203.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8819-11E7-4C76-B2E3-EAFF18EB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Alliance 404a Fee Disclosure YourPath 3.3.21</Template>
  <TotalTime>1</TotalTime>
  <Pages>12</Pages>
  <Words>4262</Words>
  <Characters>24296</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404a Fee Disclosure</vt:lpstr>
    </vt:vector>
  </TitlesOfParts>
  <Company>Lincoln Financial Group</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404a Fee Disclosure</dc:title>
  <dc:creator>Dahman, Tara</dc:creator>
  <cp:lastModifiedBy>Jennifer Bless</cp:lastModifiedBy>
  <cp:revision>2</cp:revision>
  <cp:lastPrinted>2015-10-20T15:37:00Z</cp:lastPrinted>
  <dcterms:created xsi:type="dcterms:W3CDTF">2024-10-22T20:02:00Z</dcterms:created>
  <dcterms:modified xsi:type="dcterms:W3CDTF">2024-10-22T20:02:00Z</dcterms:modified>
</cp:coreProperties>
</file>