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CBCED" w14:textId="77777777" w:rsidR="001D791A" w:rsidRDefault="000C2DAF" w:rsidP="530E7830">
      <w:pPr>
        <w:pStyle w:val="Heading1"/>
        <w:ind w:left="0"/>
      </w:pPr>
      <w:r>
        <w:t>BLACKOUT</w:t>
      </w:r>
      <w:r>
        <w:rPr>
          <w:spacing w:val="-2"/>
        </w:rPr>
        <w:t xml:space="preserve"> </w:t>
      </w:r>
      <w:r>
        <w:t>PERIOD</w:t>
      </w:r>
      <w:r>
        <w:rPr>
          <w:spacing w:val="-2"/>
        </w:rPr>
        <w:t xml:space="preserve"> </w:t>
      </w:r>
      <w:r>
        <w:t>NOTICE</w:t>
      </w:r>
    </w:p>
    <w:p w14:paraId="6478C0F0" w14:textId="77777777" w:rsidR="001D791A" w:rsidRDefault="001D791A" w:rsidP="530E7830">
      <w:pPr>
        <w:pStyle w:val="BodyText"/>
        <w:spacing w:before="4"/>
        <w:rPr>
          <w:b/>
          <w:bCs/>
          <w:sz w:val="17"/>
          <w:szCs w:val="17"/>
        </w:rPr>
      </w:pPr>
    </w:p>
    <w:p w14:paraId="1B25861E" w14:textId="4888078C" w:rsidR="00B0222A" w:rsidRDefault="000C2DAF" w:rsidP="00747E5E">
      <w:pPr>
        <w:pStyle w:val="Heading2"/>
        <w:spacing w:before="57"/>
        <w:ind w:left="0"/>
        <w:rPr>
          <w:spacing w:val="-2"/>
        </w:rPr>
      </w:pPr>
      <w:r>
        <w:t>Important</w:t>
      </w:r>
      <w:r>
        <w:rPr>
          <w:spacing w:val="-2"/>
        </w:rPr>
        <w:t xml:space="preserve"> </w:t>
      </w:r>
      <w:r>
        <w:t>notice</w:t>
      </w:r>
      <w:r>
        <w:rPr>
          <w:spacing w:val="-5"/>
        </w:rPr>
        <w:t xml:space="preserve"> </w:t>
      </w:r>
      <w:r>
        <w:t>concerning</w:t>
      </w:r>
      <w:r>
        <w:rPr>
          <w:spacing w:val="-1"/>
        </w:rPr>
        <w:t xml:space="preserve"> </w:t>
      </w:r>
      <w:r>
        <w:t>your</w:t>
      </w:r>
      <w:r>
        <w:rPr>
          <w:spacing w:val="-2"/>
        </w:rPr>
        <w:t xml:space="preserve"> </w:t>
      </w:r>
      <w:r>
        <w:t>rights</w:t>
      </w:r>
      <w:r>
        <w:rPr>
          <w:spacing w:val="-4"/>
        </w:rPr>
        <w:t xml:space="preserve"> </w:t>
      </w:r>
      <w:r>
        <w:t>under</w:t>
      </w:r>
      <w:r>
        <w:rPr>
          <w:spacing w:val="-1"/>
        </w:rPr>
        <w:t xml:space="preserve"> </w:t>
      </w:r>
      <w:r>
        <w:t>the</w:t>
      </w:r>
      <w:r w:rsidR="006C464B">
        <w:rPr>
          <w:spacing w:val="-2"/>
        </w:rPr>
        <w:t xml:space="preserve"> </w:t>
      </w:r>
      <w:bookmarkStart w:id="0" w:name="_Hlk175919455"/>
      <w:r w:rsidR="00747E5E" w:rsidRPr="00747E5E">
        <w:rPr>
          <w:spacing w:val="-2"/>
        </w:rPr>
        <w:t>Becket Academy 403(b) DC Plan</w:t>
      </w:r>
      <w:r w:rsidR="00747E5E">
        <w:rPr>
          <w:spacing w:val="-2"/>
        </w:rPr>
        <w:t xml:space="preserve"> </w:t>
      </w:r>
      <w:bookmarkEnd w:id="0"/>
      <w:r w:rsidR="00747E5E">
        <w:rPr>
          <w:spacing w:val="-2"/>
        </w:rPr>
        <w:t xml:space="preserve">and/or </w:t>
      </w:r>
      <w:r w:rsidR="00747E5E" w:rsidRPr="00747E5E">
        <w:rPr>
          <w:spacing w:val="-2"/>
        </w:rPr>
        <w:t>Mountain Valley Treatment Center 403(b) Plan</w:t>
      </w:r>
    </w:p>
    <w:p w14:paraId="1546D10A" w14:textId="77777777" w:rsidR="00747E5E" w:rsidRDefault="00747E5E" w:rsidP="00747E5E">
      <w:pPr>
        <w:pStyle w:val="Heading2"/>
        <w:spacing w:before="57"/>
        <w:ind w:left="0"/>
        <w:rPr>
          <w:b w:val="0"/>
          <w:bCs w:val="0"/>
          <w:sz w:val="27"/>
          <w:szCs w:val="27"/>
        </w:rPr>
      </w:pPr>
    </w:p>
    <w:p w14:paraId="0996ED44" w14:textId="64DE4F4B" w:rsidR="00B0222A" w:rsidRDefault="00200234" w:rsidP="530E7830">
      <w:pPr>
        <w:pStyle w:val="BodyText"/>
        <w:spacing w:before="56"/>
      </w:pPr>
      <w:r w:rsidRPr="00200234">
        <w:t>September 13, 2024</w:t>
      </w:r>
    </w:p>
    <w:p w14:paraId="658BDE1B" w14:textId="77777777" w:rsidR="00747E5E" w:rsidRPr="00200234" w:rsidRDefault="00747E5E" w:rsidP="530E7830">
      <w:pPr>
        <w:pStyle w:val="BodyText"/>
        <w:spacing w:before="56"/>
      </w:pPr>
    </w:p>
    <w:p w14:paraId="5C18E1EA" w14:textId="1F8E78E3" w:rsidR="001D791A" w:rsidRPr="00747E5E" w:rsidRDefault="00747E5E" w:rsidP="530E7830">
      <w:pPr>
        <w:pStyle w:val="BodyText"/>
        <w:spacing w:before="3"/>
      </w:pPr>
      <w:r w:rsidRPr="00747E5E">
        <w:t xml:space="preserve">This notice is to inform you that your account balance in the Becket Academy 403(b) DC Plan or the Mountain Valley Treatment Center 403(b) Plan will merge into the </w:t>
      </w:r>
      <w:bookmarkStart w:id="1" w:name="_Hlk175919686"/>
      <w:proofErr w:type="spellStart"/>
      <w:r w:rsidRPr="00747E5E">
        <w:t>FlexPEP</w:t>
      </w:r>
      <w:proofErr w:type="spellEnd"/>
      <w:r w:rsidRPr="00747E5E">
        <w:t>(b) Pooled Employer 403(b) Plan as adopted by Moosilauke Visions Inc.</w:t>
      </w:r>
      <w:bookmarkEnd w:id="1"/>
      <w:r w:rsidRPr="00747E5E">
        <w:t xml:space="preserve"> at Lincoln Financial Group effective October 11, 2024. Your current 403(b) account with Future Planning will automatically transfer to the </w:t>
      </w:r>
      <w:proofErr w:type="spellStart"/>
      <w:r w:rsidRPr="00747E5E">
        <w:t>FlexPEP</w:t>
      </w:r>
      <w:proofErr w:type="spellEnd"/>
      <w:r w:rsidRPr="00747E5E">
        <w:t>(b) Pooled Employer 403(b) Plan as adopted by Moosilauke Visions Inc.</w:t>
      </w:r>
    </w:p>
    <w:p w14:paraId="7772E888" w14:textId="77777777" w:rsidR="00B0222A" w:rsidRDefault="00B0222A" w:rsidP="530E7830">
      <w:pPr>
        <w:pStyle w:val="BodyText"/>
        <w:spacing w:before="10"/>
        <w:rPr>
          <w:sz w:val="21"/>
          <w:szCs w:val="21"/>
        </w:rPr>
      </w:pPr>
      <w:bookmarkStart w:id="2" w:name="_Hlk89091388"/>
    </w:p>
    <w:p w14:paraId="0E4FA26B" w14:textId="26BAD777" w:rsidR="00B0222A" w:rsidRDefault="00B0222A" w:rsidP="530E7830">
      <w:pPr>
        <w:pStyle w:val="BodyText"/>
        <w:ind w:right="603"/>
        <w:jc w:val="both"/>
      </w:pPr>
      <w:r>
        <w:t xml:space="preserve">During the process of transferring your account, you will be unable to direct or diversify assets credited to your </w:t>
      </w:r>
      <w:r w:rsidR="00E14107">
        <w:t>plan account</w:t>
      </w:r>
      <w:r>
        <w:t xml:space="preserve"> </w:t>
      </w:r>
      <w:r>
        <w:rPr>
          <w:color w:val="000000"/>
        </w:rPr>
        <w:t>or obtain distributions from the plan. This period, during which you will</w:t>
      </w:r>
      <w:r w:rsidR="00292367">
        <w:rPr>
          <w:color w:val="000000"/>
        </w:rPr>
        <w:t xml:space="preserve"> be </w:t>
      </w:r>
      <w:r>
        <w:rPr>
          <w:color w:val="000000"/>
        </w:rPr>
        <w:t>unable</w:t>
      </w:r>
      <w:r>
        <w:rPr>
          <w:color w:val="000000"/>
          <w:spacing w:val="9"/>
        </w:rPr>
        <w:t xml:space="preserve"> </w:t>
      </w:r>
      <w:r>
        <w:rPr>
          <w:color w:val="000000"/>
        </w:rPr>
        <w:t>to</w:t>
      </w:r>
      <w:r>
        <w:rPr>
          <w:color w:val="000000"/>
          <w:spacing w:val="15"/>
        </w:rPr>
        <w:t xml:space="preserve"> </w:t>
      </w:r>
      <w:r>
        <w:rPr>
          <w:color w:val="000000"/>
        </w:rPr>
        <w:t>exercise</w:t>
      </w:r>
      <w:r>
        <w:rPr>
          <w:color w:val="000000"/>
          <w:spacing w:val="7"/>
        </w:rPr>
        <w:t xml:space="preserve"> </w:t>
      </w:r>
      <w:r>
        <w:rPr>
          <w:color w:val="000000"/>
        </w:rPr>
        <w:t>these</w:t>
      </w:r>
      <w:r>
        <w:rPr>
          <w:color w:val="000000"/>
          <w:spacing w:val="9"/>
        </w:rPr>
        <w:t xml:space="preserve"> </w:t>
      </w:r>
      <w:r>
        <w:rPr>
          <w:color w:val="000000"/>
        </w:rPr>
        <w:t>rights</w:t>
      </w:r>
      <w:r>
        <w:rPr>
          <w:color w:val="000000"/>
          <w:spacing w:val="12"/>
        </w:rPr>
        <w:t xml:space="preserve"> </w:t>
      </w:r>
      <w:r>
        <w:rPr>
          <w:color w:val="000000"/>
        </w:rPr>
        <w:t>otherwise</w:t>
      </w:r>
      <w:r>
        <w:rPr>
          <w:color w:val="000000"/>
          <w:spacing w:val="10"/>
        </w:rPr>
        <w:t xml:space="preserve"> </w:t>
      </w:r>
      <w:r>
        <w:rPr>
          <w:color w:val="000000"/>
        </w:rPr>
        <w:t>available</w:t>
      </w:r>
      <w:r>
        <w:rPr>
          <w:color w:val="000000"/>
          <w:spacing w:val="7"/>
        </w:rPr>
        <w:t xml:space="preserve"> </w:t>
      </w:r>
      <w:r>
        <w:rPr>
          <w:color w:val="000000"/>
        </w:rPr>
        <w:t>under</w:t>
      </w:r>
      <w:r>
        <w:rPr>
          <w:color w:val="000000"/>
          <w:spacing w:val="-6"/>
        </w:rPr>
        <w:t xml:space="preserve"> </w:t>
      </w:r>
      <w:r>
        <w:rPr>
          <w:color w:val="000000"/>
        </w:rPr>
        <w:t>the</w:t>
      </w:r>
      <w:r>
        <w:rPr>
          <w:color w:val="000000"/>
          <w:spacing w:val="-4"/>
        </w:rPr>
        <w:t xml:space="preserve"> </w:t>
      </w:r>
      <w:r>
        <w:rPr>
          <w:color w:val="000000"/>
        </w:rPr>
        <w:t>plan,</w:t>
      </w:r>
      <w:r>
        <w:rPr>
          <w:color w:val="000000"/>
          <w:spacing w:val="4"/>
        </w:rPr>
        <w:t xml:space="preserve"> </w:t>
      </w:r>
      <w:r>
        <w:rPr>
          <w:color w:val="000000"/>
        </w:rPr>
        <w:t>is</w:t>
      </w:r>
      <w:r>
        <w:rPr>
          <w:color w:val="000000"/>
          <w:spacing w:val="-1"/>
        </w:rPr>
        <w:t xml:space="preserve"> </w:t>
      </w:r>
      <w:r>
        <w:rPr>
          <w:color w:val="000000"/>
        </w:rPr>
        <w:t>called</w:t>
      </w:r>
      <w:r>
        <w:rPr>
          <w:color w:val="000000"/>
          <w:spacing w:val="-2"/>
        </w:rPr>
        <w:t xml:space="preserve"> </w:t>
      </w:r>
      <w:r>
        <w:rPr>
          <w:color w:val="000000"/>
        </w:rPr>
        <w:t>a</w:t>
      </w:r>
      <w:r>
        <w:rPr>
          <w:color w:val="000000"/>
          <w:spacing w:val="-7"/>
        </w:rPr>
        <w:t xml:space="preserve"> </w:t>
      </w:r>
      <w:r>
        <w:rPr>
          <w:color w:val="000000"/>
        </w:rPr>
        <w:t>“blackout</w:t>
      </w:r>
      <w:r>
        <w:rPr>
          <w:color w:val="000000"/>
          <w:spacing w:val="5"/>
        </w:rPr>
        <w:t xml:space="preserve"> </w:t>
      </w:r>
      <w:r>
        <w:rPr>
          <w:color w:val="000000"/>
        </w:rPr>
        <w:t>period.”</w:t>
      </w:r>
    </w:p>
    <w:p w14:paraId="2016A3D6" w14:textId="77777777" w:rsidR="00B0222A" w:rsidRDefault="00B0222A" w:rsidP="00B0222A">
      <w:pPr>
        <w:pStyle w:val="BodyText"/>
        <w:spacing w:before="6"/>
        <w:rPr>
          <w:sz w:val="17"/>
        </w:rPr>
      </w:pPr>
    </w:p>
    <w:p w14:paraId="0A67EF79" w14:textId="1B4F4FEB" w:rsidR="006B13A0" w:rsidRDefault="006B13A0" w:rsidP="006B13A0">
      <w:pPr>
        <w:rPr>
          <w:color w:val="000000"/>
        </w:rPr>
      </w:pPr>
      <w:bookmarkStart w:id="3" w:name="The_blackout_period_for_the_plan_will_be"/>
      <w:bookmarkEnd w:id="3"/>
      <w:r>
        <w:rPr>
          <w:color w:val="000000"/>
        </w:rPr>
        <w:t>Please note the following key dates related to</w:t>
      </w:r>
      <w:r w:rsidR="007411DE" w:rsidRPr="007411DE">
        <w:t xml:space="preserve"> </w:t>
      </w:r>
      <w:proofErr w:type="spellStart"/>
      <w:r w:rsidR="007411DE" w:rsidRPr="007411DE">
        <w:rPr>
          <w:color w:val="000000"/>
        </w:rPr>
        <w:t>FlexPEP</w:t>
      </w:r>
      <w:proofErr w:type="spellEnd"/>
      <w:r w:rsidR="007411DE" w:rsidRPr="007411DE">
        <w:rPr>
          <w:color w:val="000000"/>
        </w:rPr>
        <w:t>(b) Pooled Employer 403(b) Plan as adopted by Moosilauke Visions Inc.</w:t>
      </w:r>
      <w:r>
        <w:rPr>
          <w:color w:val="000000"/>
        </w:rPr>
        <w:t>’s blackout period.</w:t>
      </w:r>
    </w:p>
    <w:tbl>
      <w:tblPr>
        <w:tblStyle w:val="TableGrid"/>
        <w:tblW w:w="0" w:type="auto"/>
        <w:tblLook w:val="04A0" w:firstRow="1" w:lastRow="0" w:firstColumn="1" w:lastColumn="0" w:noHBand="0" w:noVBand="1"/>
      </w:tblPr>
      <w:tblGrid>
        <w:gridCol w:w="5475"/>
        <w:gridCol w:w="5475"/>
      </w:tblGrid>
      <w:tr w:rsidR="006B13A0" w14:paraId="38AA322D" w14:textId="77777777" w:rsidTr="00145FFE">
        <w:tc>
          <w:tcPr>
            <w:tcW w:w="5475" w:type="dxa"/>
          </w:tcPr>
          <w:p w14:paraId="505AB818" w14:textId="77777777" w:rsidR="006B13A0" w:rsidRPr="00145FFE" w:rsidRDefault="006B13A0" w:rsidP="00145FFE">
            <w:pPr>
              <w:rPr>
                <w:b/>
              </w:rPr>
            </w:pPr>
            <w:r w:rsidRPr="00145FFE">
              <w:rPr>
                <w:b/>
              </w:rPr>
              <w:t>Key Date</w:t>
            </w:r>
          </w:p>
        </w:tc>
        <w:tc>
          <w:tcPr>
            <w:tcW w:w="5475" w:type="dxa"/>
          </w:tcPr>
          <w:p w14:paraId="435540F8" w14:textId="77777777" w:rsidR="006B13A0" w:rsidRDefault="006B13A0" w:rsidP="00145FFE">
            <w:pPr>
              <w:rPr>
                <w:bCs/>
              </w:rPr>
            </w:pPr>
            <w:r>
              <w:rPr>
                <w:bCs/>
              </w:rPr>
              <w:t>Details</w:t>
            </w:r>
          </w:p>
        </w:tc>
      </w:tr>
      <w:tr w:rsidR="006B13A0" w14:paraId="4BDB6A3C" w14:textId="77777777" w:rsidTr="00145FFE">
        <w:tc>
          <w:tcPr>
            <w:tcW w:w="5475" w:type="dxa"/>
          </w:tcPr>
          <w:p w14:paraId="1F238B5F" w14:textId="673A006A" w:rsidR="006B13A0" w:rsidRPr="00A16A1B" w:rsidRDefault="006C464B" w:rsidP="00145FFE">
            <w:pPr>
              <w:rPr>
                <w:bCs/>
                <w:color w:val="D90093"/>
              </w:rPr>
            </w:pPr>
            <w:r w:rsidRPr="006C464B">
              <w:rPr>
                <w:bCs/>
              </w:rPr>
              <w:t>October 14, 2024</w:t>
            </w:r>
          </w:p>
        </w:tc>
        <w:tc>
          <w:tcPr>
            <w:tcW w:w="5475" w:type="dxa"/>
          </w:tcPr>
          <w:p w14:paraId="31A66C71" w14:textId="1E1F7BC4" w:rsidR="006B13A0" w:rsidRPr="00A16A1B" w:rsidRDefault="006B13A0" w:rsidP="00145FFE">
            <w:pPr>
              <w:rPr>
                <w:bCs/>
              </w:rPr>
            </w:pPr>
            <w:r w:rsidRPr="00A16A1B">
              <w:rPr>
                <w:bCs/>
              </w:rPr>
              <w:t xml:space="preserve">Blackout period begins at </w:t>
            </w:r>
            <w:r w:rsidR="00200234">
              <w:rPr>
                <w:bCs/>
              </w:rPr>
              <w:t>Future Planning</w:t>
            </w:r>
          </w:p>
          <w:p w14:paraId="589AF5FA" w14:textId="758B6FB8" w:rsidR="006B13A0" w:rsidRPr="00A16A1B" w:rsidRDefault="006B13A0" w:rsidP="00145FFE">
            <w:pPr>
              <w:rPr>
                <w:bCs/>
              </w:rPr>
            </w:pPr>
            <w:r w:rsidRPr="00A16A1B">
              <w:rPr>
                <w:bCs/>
              </w:rPr>
              <w:t>You will be unable to direct or diversify assets credited to your plan account or obtain distributions from the plan.</w:t>
            </w:r>
          </w:p>
        </w:tc>
      </w:tr>
      <w:tr w:rsidR="006B13A0" w14:paraId="1D539E69" w14:textId="77777777" w:rsidTr="00145FFE">
        <w:tc>
          <w:tcPr>
            <w:tcW w:w="5475" w:type="dxa"/>
          </w:tcPr>
          <w:p w14:paraId="3B8767A6" w14:textId="24F88F03" w:rsidR="006B13A0" w:rsidRPr="006C464B" w:rsidRDefault="006B13A0" w:rsidP="00145FFE">
            <w:pPr>
              <w:rPr>
                <w:bCs/>
              </w:rPr>
            </w:pPr>
            <w:r w:rsidRPr="006C464B">
              <w:rPr>
                <w:bCs/>
              </w:rPr>
              <w:t>No later than the week of</w:t>
            </w:r>
            <w:r w:rsidR="006C464B" w:rsidRPr="006C464B">
              <w:rPr>
                <w:bCs/>
              </w:rPr>
              <w:t xml:space="preserve"> November 3, 2024</w:t>
            </w:r>
          </w:p>
        </w:tc>
        <w:tc>
          <w:tcPr>
            <w:tcW w:w="5475" w:type="dxa"/>
          </w:tcPr>
          <w:p w14:paraId="54A01BB4" w14:textId="77777777" w:rsidR="006B13A0" w:rsidRPr="006C464B" w:rsidRDefault="006B13A0" w:rsidP="00145FFE">
            <w:pPr>
              <w:rPr>
                <w:bCs/>
              </w:rPr>
            </w:pPr>
            <w:r w:rsidRPr="006C464B">
              <w:rPr>
                <w:bCs/>
              </w:rPr>
              <w:t>Blackout period ends.</w:t>
            </w:r>
          </w:p>
        </w:tc>
      </w:tr>
    </w:tbl>
    <w:p w14:paraId="204052DD" w14:textId="77777777" w:rsidR="0000668A" w:rsidRDefault="0000668A" w:rsidP="00B0222A">
      <w:pPr>
        <w:pStyle w:val="Heading2"/>
        <w:ind w:right="606"/>
        <w:jc w:val="both"/>
      </w:pPr>
    </w:p>
    <w:bookmarkEnd w:id="2"/>
    <w:p w14:paraId="051717D7" w14:textId="458D7B1D" w:rsidR="00B0222A" w:rsidRDefault="00B0222A" w:rsidP="4DF8B77B">
      <w:pPr>
        <w:pStyle w:val="BodyText"/>
        <w:spacing w:before="1"/>
        <w:rPr>
          <w:b/>
          <w:bCs/>
        </w:rPr>
      </w:pPr>
      <w:r>
        <w:rPr>
          <w:color w:val="201E1F"/>
        </w:rPr>
        <w:t>We encourage you to consider carefully how this blackout period may affect your retirement planning, as well as</w:t>
      </w:r>
      <w:r>
        <w:rPr>
          <w:color w:val="201E1F"/>
          <w:spacing w:val="1"/>
        </w:rPr>
        <w:t xml:space="preserve"> </w:t>
      </w:r>
      <w:r>
        <w:rPr>
          <w:color w:val="201E1F"/>
        </w:rPr>
        <w:t>your overall financial plan. It is very important that you review and consider the appropriateness of your current</w:t>
      </w:r>
      <w:r>
        <w:rPr>
          <w:color w:val="201E1F"/>
          <w:spacing w:val="1"/>
        </w:rPr>
        <w:t xml:space="preserve"> </w:t>
      </w:r>
      <w:r>
        <w:rPr>
          <w:color w:val="201E1F"/>
        </w:rPr>
        <w:t>investments</w:t>
      </w:r>
      <w:r>
        <w:rPr>
          <w:color w:val="201E1F"/>
          <w:spacing w:val="-1"/>
        </w:rPr>
        <w:t xml:space="preserve"> </w:t>
      </w:r>
      <w:proofErr w:type="gramStart"/>
      <w:r>
        <w:rPr>
          <w:color w:val="201E1F"/>
        </w:rPr>
        <w:t>in</w:t>
      </w:r>
      <w:r>
        <w:rPr>
          <w:color w:val="201E1F"/>
          <w:spacing w:val="-2"/>
        </w:rPr>
        <w:t xml:space="preserve"> </w:t>
      </w:r>
      <w:r>
        <w:rPr>
          <w:color w:val="201E1F"/>
        </w:rPr>
        <w:t>light</w:t>
      </w:r>
      <w:r>
        <w:rPr>
          <w:color w:val="201E1F"/>
          <w:spacing w:val="-5"/>
        </w:rPr>
        <w:t xml:space="preserve"> </w:t>
      </w:r>
      <w:r>
        <w:rPr>
          <w:color w:val="201E1F"/>
        </w:rPr>
        <w:t>of</w:t>
      </w:r>
      <w:proofErr w:type="gramEnd"/>
      <w:r>
        <w:rPr>
          <w:color w:val="201E1F"/>
          <w:spacing w:val="-4"/>
        </w:rPr>
        <w:t xml:space="preserve"> </w:t>
      </w:r>
      <w:r>
        <w:rPr>
          <w:color w:val="201E1F"/>
        </w:rPr>
        <w:t>your</w:t>
      </w:r>
      <w:r>
        <w:rPr>
          <w:color w:val="201E1F"/>
          <w:spacing w:val="-3"/>
        </w:rPr>
        <w:t xml:space="preserve"> </w:t>
      </w:r>
      <w:r>
        <w:rPr>
          <w:color w:val="201E1F"/>
        </w:rPr>
        <w:t>inability to</w:t>
      </w:r>
      <w:r>
        <w:rPr>
          <w:color w:val="201E1F"/>
          <w:spacing w:val="-6"/>
        </w:rPr>
        <w:t xml:space="preserve"> </w:t>
      </w:r>
      <w:r>
        <w:rPr>
          <w:color w:val="201E1F"/>
        </w:rPr>
        <w:t>direct or</w:t>
      </w:r>
      <w:r>
        <w:rPr>
          <w:color w:val="201E1F"/>
          <w:spacing w:val="-1"/>
        </w:rPr>
        <w:t xml:space="preserve"> </w:t>
      </w:r>
      <w:r>
        <w:rPr>
          <w:color w:val="201E1F"/>
        </w:rPr>
        <w:t>diversify</w:t>
      </w:r>
      <w:r>
        <w:rPr>
          <w:color w:val="201E1F"/>
          <w:spacing w:val="-6"/>
        </w:rPr>
        <w:t xml:space="preserve"> </w:t>
      </w:r>
      <w:r>
        <w:rPr>
          <w:color w:val="201E1F"/>
        </w:rPr>
        <w:t>those</w:t>
      </w:r>
      <w:r>
        <w:rPr>
          <w:color w:val="201E1F"/>
          <w:spacing w:val="-7"/>
        </w:rPr>
        <w:t xml:space="preserve"> </w:t>
      </w:r>
      <w:r>
        <w:rPr>
          <w:color w:val="201E1F"/>
        </w:rPr>
        <w:t>investments</w:t>
      </w:r>
      <w:r>
        <w:rPr>
          <w:color w:val="201E1F"/>
          <w:spacing w:val="1"/>
        </w:rPr>
        <w:t xml:space="preserve"> </w:t>
      </w:r>
      <w:r>
        <w:rPr>
          <w:color w:val="201E1F"/>
        </w:rPr>
        <w:t>during</w:t>
      </w:r>
      <w:r>
        <w:rPr>
          <w:color w:val="201E1F"/>
          <w:spacing w:val="1"/>
        </w:rPr>
        <w:t xml:space="preserve"> </w:t>
      </w:r>
      <w:r>
        <w:rPr>
          <w:color w:val="201E1F"/>
        </w:rPr>
        <w:t>the</w:t>
      </w:r>
      <w:r>
        <w:rPr>
          <w:color w:val="201E1F"/>
          <w:spacing w:val="-5"/>
        </w:rPr>
        <w:t xml:space="preserve"> </w:t>
      </w:r>
      <w:r>
        <w:rPr>
          <w:color w:val="201E1F"/>
        </w:rPr>
        <w:t>blackout</w:t>
      </w:r>
      <w:r>
        <w:rPr>
          <w:color w:val="201E1F"/>
          <w:spacing w:val="7"/>
        </w:rPr>
        <w:t xml:space="preserve"> </w:t>
      </w:r>
      <w:r>
        <w:rPr>
          <w:color w:val="201E1F"/>
        </w:rPr>
        <w:t>period.</w:t>
      </w:r>
    </w:p>
    <w:p w14:paraId="2FB8F1D5" w14:textId="77777777" w:rsidR="001D791A" w:rsidRDefault="001D791A">
      <w:pPr>
        <w:pStyle w:val="BodyText"/>
        <w:spacing w:before="10"/>
        <w:rPr>
          <w:sz w:val="21"/>
        </w:rPr>
      </w:pPr>
    </w:p>
    <w:p w14:paraId="77958355" w14:textId="7CAD85E6" w:rsidR="00B0222A" w:rsidRDefault="003E64B5" w:rsidP="006C464B">
      <w:pPr>
        <w:ind w:right="700"/>
        <w:jc w:val="both"/>
      </w:pPr>
      <w:r>
        <w:t xml:space="preserve">As part of the transition to </w:t>
      </w:r>
      <w:r w:rsidRPr="00200234">
        <w:t>Lincoln,</w:t>
      </w:r>
      <w:r w:rsidR="00B0222A" w:rsidRPr="00200234">
        <w:t xml:space="preserve"> </w:t>
      </w:r>
      <w:r w:rsidR="006C464B" w:rsidRPr="00200234">
        <w:t>Moosilauke Visions Inc.</w:t>
      </w:r>
      <w:r w:rsidRPr="00200234">
        <w:t xml:space="preserve"> has directed that your account balance and future contributions in your</w:t>
      </w:r>
      <w:r w:rsidR="00B0222A" w:rsidRPr="00200234">
        <w:t xml:space="preserve"> </w:t>
      </w:r>
      <w:r w:rsidR="00200234" w:rsidRPr="00200234">
        <w:t>Future Planning</w:t>
      </w:r>
      <w:r w:rsidR="00B0222A" w:rsidRPr="00200234">
        <w:t xml:space="preserve"> </w:t>
      </w:r>
      <w:r w:rsidRPr="00200234">
        <w:t xml:space="preserve">account </w:t>
      </w:r>
      <w:r w:rsidRPr="006C464B">
        <w:t>will automatically transfer into the</w:t>
      </w:r>
      <w:r w:rsidR="00B14A95" w:rsidRPr="006C464B">
        <w:t xml:space="preserve"> plan’s</w:t>
      </w:r>
      <w:r w:rsidR="006C464B" w:rsidRPr="006C464B">
        <w:t xml:space="preserve"> </w:t>
      </w:r>
      <w:r w:rsidR="00B0222A" w:rsidRPr="006C464B">
        <w:t>Qualified Default Investment Alternative (QDIA)</w:t>
      </w:r>
      <w:r w:rsidR="009157E9" w:rsidRPr="006C464B">
        <w:t>.</w:t>
      </w:r>
      <w:r w:rsidR="00B0222A" w:rsidRPr="006C464B">
        <w:t xml:space="preserve"> </w:t>
      </w:r>
      <w:r w:rsidR="00F0558D" w:rsidRPr="006C464B">
        <w:t xml:space="preserve">The </w:t>
      </w:r>
      <w:r w:rsidR="006C464B" w:rsidRPr="006C464B">
        <w:t>Q</w:t>
      </w:r>
      <w:r w:rsidR="00F0558D" w:rsidRPr="006C464B">
        <w:t>DIA</w:t>
      </w:r>
      <w:r w:rsidR="006C464B" w:rsidRPr="006C464B">
        <w:t xml:space="preserve"> </w:t>
      </w:r>
      <w:r w:rsidR="00F0558D" w:rsidRPr="006C464B">
        <w:t xml:space="preserve">for the </w:t>
      </w:r>
      <w:proofErr w:type="spellStart"/>
      <w:r w:rsidR="006C464B" w:rsidRPr="006C464B">
        <w:t>FlexPEP</w:t>
      </w:r>
      <w:proofErr w:type="spellEnd"/>
      <w:r w:rsidR="006C464B" w:rsidRPr="006C464B">
        <w:t>(b) Pooled Employer 403(b) Plan as adopted by Moosilauke Visions Inc.</w:t>
      </w:r>
      <w:r w:rsidR="00F0558D" w:rsidRPr="006C464B">
        <w:t xml:space="preserve"> is</w:t>
      </w:r>
      <w:r w:rsidR="00BA6485" w:rsidRPr="006C464B">
        <w:t xml:space="preserve"> the </w:t>
      </w:r>
      <w:proofErr w:type="spellStart"/>
      <w:r w:rsidR="006C464B" w:rsidRPr="006C464B">
        <w:t>YourPath</w:t>
      </w:r>
      <w:proofErr w:type="spellEnd"/>
      <w:r w:rsidR="006C464B" w:rsidRPr="006C464B">
        <w:t xml:space="preserve"> iShares Moderate</w:t>
      </w:r>
      <w:r w:rsidR="00BA6485" w:rsidRPr="006C464B">
        <w:t xml:space="preserve"> with the year </w:t>
      </w:r>
      <w:r w:rsidR="00B0222A" w:rsidRPr="006C464B">
        <w:t xml:space="preserve">that most closely aligns with a normal retirement age of </w:t>
      </w:r>
      <w:r w:rsidR="006C464B" w:rsidRPr="006C464B">
        <w:t>65</w:t>
      </w:r>
      <w:r w:rsidR="00B0222A" w:rsidRPr="006C464B">
        <w:t>.</w:t>
      </w:r>
    </w:p>
    <w:p w14:paraId="0D5E7450" w14:textId="77777777" w:rsidR="00955B89" w:rsidRPr="006C464B" w:rsidRDefault="00955B89" w:rsidP="006C464B">
      <w:pPr>
        <w:ind w:right="700"/>
        <w:jc w:val="both"/>
        <w:rPr>
          <w:b/>
          <w:bCs/>
        </w:rPr>
      </w:pPr>
    </w:p>
    <w:p w14:paraId="556291C1" w14:textId="57FEE584" w:rsidR="00F634A2" w:rsidRPr="006C464B" w:rsidRDefault="00F634A2" w:rsidP="4DF8B77B">
      <w:pPr>
        <w:ind w:right="700"/>
        <w:jc w:val="both"/>
      </w:pPr>
      <w:r w:rsidRPr="006C464B">
        <w:t>Your current salary deferral election</w:t>
      </w:r>
      <w:r w:rsidR="0057025D" w:rsidRPr="006C464B">
        <w:t>(s)</w:t>
      </w:r>
      <w:r w:rsidRPr="006C464B">
        <w:t xml:space="preserve"> will transfer over to Lincoln.</w:t>
      </w:r>
    </w:p>
    <w:p w14:paraId="70CA3F3D" w14:textId="377A61F7" w:rsidR="001D791A" w:rsidRDefault="001D791A" w:rsidP="4DF8B77B">
      <w:pPr>
        <w:pStyle w:val="BodyText"/>
        <w:ind w:right="700"/>
        <w:jc w:val="both"/>
        <w:rPr>
          <w:color w:val="D60093"/>
        </w:rPr>
      </w:pPr>
    </w:p>
    <w:p w14:paraId="55126484" w14:textId="77777777" w:rsidR="0013123A" w:rsidRDefault="0013123A" w:rsidP="0013123A">
      <w:pPr>
        <w:pStyle w:val="BodyText"/>
        <w:ind w:right="610"/>
        <w:rPr>
          <w:rFonts w:eastAsia="Times New Roman"/>
          <w:b/>
          <w:bCs/>
        </w:rPr>
      </w:pPr>
      <w:bookmarkStart w:id="4" w:name="_Hlk132010551"/>
      <w:r w:rsidRPr="4E8AB006">
        <w:rPr>
          <w:b/>
          <w:bCs/>
        </w:rPr>
        <w:t xml:space="preserve">AFTER THE BLACKOUT PERIOD </w:t>
      </w:r>
      <w:bookmarkEnd w:id="4"/>
    </w:p>
    <w:p w14:paraId="2F56F5F7" w14:textId="2224AB41" w:rsidR="000C7E3F" w:rsidRDefault="000C7E3F" w:rsidP="000C7E3F">
      <w:bookmarkStart w:id="5" w:name="_Hlk89092197"/>
      <w:r>
        <w:t>Please note that when you register for account access or change your email address, there is a two</w:t>
      </w:r>
      <w:r w:rsidR="1A84A78B">
        <w:t>-</w:t>
      </w:r>
      <w:r>
        <w:t>business-day waiting period before you can request a distribution. A five</w:t>
      </w:r>
      <w:r w:rsidR="3A361292">
        <w:t>-</w:t>
      </w:r>
      <w:r>
        <w:t>business-day waiting period for distributions applies when you change your mailing address or change your email address and mailing address at the same time. This is a security measure that allows time for you to receive confirmation from Lincoln that your account has been registered and/or your address information has changed, and for you to notify Lincoln if this action was taken by someone other than you.</w:t>
      </w:r>
    </w:p>
    <w:p w14:paraId="39F290CB" w14:textId="77777777" w:rsidR="00207D2A" w:rsidRDefault="00207D2A" w:rsidP="00E937A6">
      <w:pPr>
        <w:pStyle w:val="BodyText"/>
        <w:ind w:right="605"/>
        <w:jc w:val="both"/>
        <w:rPr>
          <w:b/>
          <w:bCs/>
          <w:color w:val="D60093"/>
          <w:spacing w:val="1"/>
        </w:rPr>
      </w:pPr>
    </w:p>
    <w:p w14:paraId="680E436A" w14:textId="3474CFF5" w:rsidR="006E6FCE" w:rsidRPr="00200234" w:rsidRDefault="006E6FCE" w:rsidP="4DF8B77B">
      <w:pPr>
        <w:pStyle w:val="BodyText"/>
        <w:spacing w:before="58" w:line="237" w:lineRule="auto"/>
        <w:ind w:right="605"/>
        <w:jc w:val="both"/>
        <w:rPr>
          <w:shd w:val="clear" w:color="auto" w:fill="FFFF00"/>
        </w:rPr>
      </w:pPr>
      <w:r>
        <w:rPr>
          <w:color w:val="000000"/>
          <w:spacing w:val="-1"/>
        </w:rPr>
        <w:t>You</w:t>
      </w:r>
      <w:r>
        <w:rPr>
          <w:color w:val="000000"/>
          <w:spacing w:val="-9"/>
        </w:rPr>
        <w:t xml:space="preserve"> </w:t>
      </w:r>
      <w:r>
        <w:rPr>
          <w:color w:val="000000"/>
          <w:spacing w:val="-1"/>
        </w:rPr>
        <w:t>will</w:t>
      </w:r>
      <w:r>
        <w:rPr>
          <w:color w:val="000000"/>
          <w:spacing w:val="-5"/>
        </w:rPr>
        <w:t xml:space="preserve"> </w:t>
      </w:r>
      <w:r>
        <w:rPr>
          <w:color w:val="000000"/>
          <w:spacing w:val="-1"/>
        </w:rPr>
        <w:t>need</w:t>
      </w:r>
      <w:r>
        <w:rPr>
          <w:color w:val="000000"/>
          <w:spacing w:val="-11"/>
        </w:rPr>
        <w:t xml:space="preserve"> </w:t>
      </w:r>
      <w:r>
        <w:rPr>
          <w:color w:val="000000"/>
          <w:spacing w:val="-1"/>
        </w:rPr>
        <w:t>to designate</w:t>
      </w:r>
      <w:r>
        <w:rPr>
          <w:color w:val="000000"/>
          <w:spacing w:val="-12"/>
        </w:rPr>
        <w:t xml:space="preserve"> </w:t>
      </w:r>
      <w:r>
        <w:rPr>
          <w:color w:val="000000"/>
        </w:rPr>
        <w:t>your</w:t>
      </w:r>
      <w:r>
        <w:rPr>
          <w:color w:val="000000"/>
          <w:spacing w:val="-7"/>
        </w:rPr>
        <w:t xml:space="preserve"> </w:t>
      </w:r>
      <w:r w:rsidRPr="00200234">
        <w:t>beneficiaries</w:t>
      </w:r>
      <w:r w:rsidRPr="00200234">
        <w:rPr>
          <w:spacing w:val="-9"/>
        </w:rPr>
        <w:t xml:space="preserve"> </w:t>
      </w:r>
      <w:r w:rsidRPr="00200234">
        <w:t>online</w:t>
      </w:r>
      <w:r w:rsidRPr="00200234">
        <w:rPr>
          <w:spacing w:val="-5"/>
        </w:rPr>
        <w:t xml:space="preserve"> </w:t>
      </w:r>
      <w:r w:rsidR="009145D4" w:rsidRPr="00200234">
        <w:rPr>
          <w:spacing w:val="-5"/>
        </w:rPr>
        <w:t xml:space="preserve">after the blackout period ends, </w:t>
      </w:r>
      <w:r w:rsidRPr="00200234">
        <w:t>as</w:t>
      </w:r>
      <w:r w:rsidRPr="00200234">
        <w:rPr>
          <w:spacing w:val="-9"/>
        </w:rPr>
        <w:t xml:space="preserve"> </w:t>
      </w:r>
      <w:r w:rsidRPr="00200234">
        <w:t>your</w:t>
      </w:r>
      <w:r w:rsidRPr="00200234">
        <w:rPr>
          <w:spacing w:val="-8"/>
        </w:rPr>
        <w:t xml:space="preserve"> </w:t>
      </w:r>
      <w:r w:rsidRPr="00200234">
        <w:t>current</w:t>
      </w:r>
      <w:r w:rsidRPr="00200234">
        <w:rPr>
          <w:spacing w:val="-7"/>
        </w:rPr>
        <w:t xml:space="preserve"> </w:t>
      </w:r>
      <w:r w:rsidRPr="00200234">
        <w:t>beneficiary</w:t>
      </w:r>
      <w:r w:rsidRPr="00200234">
        <w:rPr>
          <w:spacing w:val="-3"/>
        </w:rPr>
        <w:t xml:space="preserve"> </w:t>
      </w:r>
      <w:r w:rsidRPr="00200234">
        <w:t>information</w:t>
      </w:r>
      <w:r w:rsidRPr="00200234">
        <w:rPr>
          <w:spacing w:val="-11"/>
        </w:rPr>
        <w:t xml:space="preserve"> </w:t>
      </w:r>
      <w:r w:rsidRPr="00200234">
        <w:t>will</w:t>
      </w:r>
      <w:r w:rsidRPr="00200234">
        <w:rPr>
          <w:spacing w:val="-7"/>
        </w:rPr>
        <w:t xml:space="preserve"> </w:t>
      </w:r>
      <w:r w:rsidRPr="00200234">
        <w:t>not</w:t>
      </w:r>
      <w:r w:rsidRPr="00200234">
        <w:rPr>
          <w:spacing w:val="-5"/>
        </w:rPr>
        <w:t xml:space="preserve"> </w:t>
      </w:r>
      <w:r w:rsidRPr="00200234">
        <w:t>transfer</w:t>
      </w:r>
      <w:r w:rsidRPr="00200234">
        <w:rPr>
          <w:spacing w:val="-12"/>
        </w:rPr>
        <w:t xml:space="preserve"> </w:t>
      </w:r>
      <w:r w:rsidRPr="00200234">
        <w:t xml:space="preserve">from </w:t>
      </w:r>
      <w:r w:rsidR="00200234" w:rsidRPr="00200234">
        <w:t>Future Planning</w:t>
      </w:r>
      <w:r w:rsidRPr="00200234">
        <w:t>. If you do not name a beneficiary for your account, your beneficiary will be</w:t>
      </w:r>
      <w:r w:rsidRPr="00200234">
        <w:rPr>
          <w:spacing w:val="1"/>
        </w:rPr>
        <w:t xml:space="preserve"> </w:t>
      </w:r>
      <w:r w:rsidRPr="00200234">
        <w:t xml:space="preserve">determined based on the default hierarchy under the plan which is </w:t>
      </w:r>
      <w:r w:rsidR="00200234" w:rsidRPr="00200234">
        <w:t>(1) Spouse (2) Surviving Children in equal shares (3) Estate.</w:t>
      </w:r>
    </w:p>
    <w:p w14:paraId="063D2422" w14:textId="77777777" w:rsidR="006E6FCE" w:rsidRPr="00200234" w:rsidRDefault="006E6FCE" w:rsidP="006E6FCE">
      <w:pPr>
        <w:pStyle w:val="BodyText"/>
        <w:kinsoku w:val="0"/>
        <w:overflowPunct w:val="0"/>
        <w:spacing w:before="60" w:line="235" w:lineRule="auto"/>
        <w:ind w:left="115" w:right="605" w:hanging="1"/>
      </w:pPr>
    </w:p>
    <w:p w14:paraId="31ADB39C" w14:textId="4A8AC710" w:rsidR="006E6FCE" w:rsidRDefault="00CA4CDA" w:rsidP="4DF8B77B">
      <w:pPr>
        <w:pStyle w:val="BodyText"/>
        <w:kinsoku w:val="0"/>
        <w:overflowPunct w:val="0"/>
        <w:spacing w:before="56"/>
        <w:ind w:right="605"/>
        <w:rPr>
          <w:color w:val="000000"/>
        </w:rPr>
      </w:pPr>
      <w:r w:rsidRPr="00200234">
        <w:t xml:space="preserve">Questions regarding your current </w:t>
      </w:r>
      <w:r w:rsidR="00200234" w:rsidRPr="00200234">
        <w:t>Future Planning</w:t>
      </w:r>
      <w:r w:rsidRPr="00200234">
        <w:t xml:space="preserve"> account should be directed to </w:t>
      </w:r>
      <w:r w:rsidR="00200234" w:rsidRPr="00200234">
        <w:t>Future Planning</w:t>
      </w:r>
      <w:r w:rsidRPr="00200234">
        <w:t xml:space="preserve"> at </w:t>
      </w:r>
      <w:r w:rsidR="00747E5E" w:rsidRPr="00747E5E">
        <w:t>(802) 857-0686</w:t>
      </w:r>
      <w:r w:rsidR="00747E5E">
        <w:t>.</w:t>
      </w:r>
      <w:r w:rsidRPr="003A1307">
        <w:t xml:space="preserve"> </w:t>
      </w:r>
      <w:r w:rsidR="006E6FCE">
        <w:t>If</w:t>
      </w:r>
      <w:r w:rsidR="006E6FCE">
        <w:rPr>
          <w:spacing w:val="29"/>
        </w:rPr>
        <w:t xml:space="preserve"> </w:t>
      </w:r>
      <w:r w:rsidR="006E6FCE">
        <w:t>you</w:t>
      </w:r>
      <w:r w:rsidR="006E6FCE">
        <w:rPr>
          <w:spacing w:val="34"/>
        </w:rPr>
        <w:t xml:space="preserve"> </w:t>
      </w:r>
      <w:r w:rsidR="006E6FCE">
        <w:t>have</w:t>
      </w:r>
      <w:r w:rsidR="006E6FCE">
        <w:rPr>
          <w:spacing w:val="37"/>
        </w:rPr>
        <w:t xml:space="preserve"> </w:t>
      </w:r>
      <w:r w:rsidR="006E6FCE">
        <w:t>any</w:t>
      </w:r>
      <w:r w:rsidR="006E6FCE">
        <w:rPr>
          <w:spacing w:val="33"/>
        </w:rPr>
        <w:t xml:space="preserve"> </w:t>
      </w:r>
      <w:r w:rsidRPr="00037701">
        <w:t>other</w:t>
      </w:r>
      <w:r>
        <w:rPr>
          <w:spacing w:val="33"/>
        </w:rPr>
        <w:t xml:space="preserve"> </w:t>
      </w:r>
      <w:r w:rsidR="006E6FCE">
        <w:t>questions</w:t>
      </w:r>
      <w:r w:rsidR="006E6FCE">
        <w:rPr>
          <w:spacing w:val="31"/>
        </w:rPr>
        <w:t xml:space="preserve"> </w:t>
      </w:r>
      <w:r w:rsidR="006E6FCE">
        <w:t>concerning</w:t>
      </w:r>
      <w:r w:rsidR="006E6FCE">
        <w:rPr>
          <w:spacing w:val="34"/>
        </w:rPr>
        <w:t xml:space="preserve"> </w:t>
      </w:r>
      <w:r w:rsidR="006E6FCE">
        <w:t>this</w:t>
      </w:r>
      <w:r w:rsidR="006E6FCE">
        <w:rPr>
          <w:spacing w:val="34"/>
        </w:rPr>
        <w:t xml:space="preserve"> </w:t>
      </w:r>
      <w:r w:rsidR="006E6FCE">
        <w:t>notice,</w:t>
      </w:r>
      <w:r w:rsidR="006E6FCE">
        <w:rPr>
          <w:spacing w:val="44"/>
        </w:rPr>
        <w:t xml:space="preserve"> </w:t>
      </w:r>
      <w:r w:rsidR="006E6FCE">
        <w:t>please</w:t>
      </w:r>
      <w:r w:rsidR="006E6FCE">
        <w:rPr>
          <w:spacing w:val="27"/>
        </w:rPr>
        <w:t xml:space="preserve"> </w:t>
      </w:r>
      <w:r w:rsidR="006E6FCE">
        <w:t>contact</w:t>
      </w:r>
      <w:r w:rsidR="00747E5E">
        <w:rPr>
          <w:spacing w:val="42"/>
        </w:rPr>
        <w:t xml:space="preserve"> </w:t>
      </w:r>
      <w:r w:rsidR="00747E5E" w:rsidRPr="00955B89">
        <w:t xml:space="preserve">Jennifer Bless, Benefits </w:t>
      </w:r>
      <w:proofErr w:type="gramStart"/>
      <w:r w:rsidR="00955B89" w:rsidRPr="00955B89">
        <w:t>Administrator</w:t>
      </w:r>
      <w:proofErr w:type="gramEnd"/>
      <w:r w:rsidR="00955B89" w:rsidRPr="00955B89">
        <w:t xml:space="preserve"> a</w:t>
      </w:r>
      <w:r w:rsidR="006E6FCE" w:rsidRPr="00955B89">
        <w:t xml:space="preserve">t </w:t>
      </w:r>
      <w:r w:rsidR="00955B89" w:rsidRPr="00955B89">
        <w:rPr>
          <w:color w:val="000000"/>
        </w:rPr>
        <w:t xml:space="preserve">603-236-6182 </w:t>
      </w:r>
      <w:r w:rsidR="006E6FCE">
        <w:rPr>
          <w:color w:val="000000"/>
        </w:rPr>
        <w:t xml:space="preserve">or </w:t>
      </w:r>
      <w:r w:rsidR="00955B89" w:rsidRPr="00955B89">
        <w:rPr>
          <w:color w:val="000000"/>
        </w:rPr>
        <w:t>jennifer.bless@becket.org</w:t>
      </w:r>
      <w:r w:rsidR="00955B89">
        <w:rPr>
          <w:color w:val="000000"/>
        </w:rPr>
        <w:t>.</w:t>
      </w:r>
    </w:p>
    <w:p w14:paraId="7294B374" w14:textId="025A58CD" w:rsidR="001D791A" w:rsidRDefault="001D791A">
      <w:pPr>
        <w:pStyle w:val="BodyText"/>
      </w:pPr>
    </w:p>
    <w:p w14:paraId="5F0D56D6" w14:textId="78D69A45" w:rsidR="00FF117C" w:rsidRDefault="00FF117C">
      <w:pPr>
        <w:pStyle w:val="BodyText"/>
      </w:pPr>
    </w:p>
    <w:p w14:paraId="57D55C13" w14:textId="7E71441C" w:rsidR="00FF117C" w:rsidRDefault="00FF117C">
      <w:pPr>
        <w:pStyle w:val="BodyText"/>
      </w:pPr>
    </w:p>
    <w:p w14:paraId="5A4ED9A3" w14:textId="09AF5403" w:rsidR="00FF117C" w:rsidRDefault="00FF117C">
      <w:pPr>
        <w:pStyle w:val="BodyText"/>
      </w:pPr>
    </w:p>
    <w:p w14:paraId="2636B7E8" w14:textId="77777777" w:rsidR="00FF117C" w:rsidRDefault="00FF117C">
      <w:pPr>
        <w:pStyle w:val="BodyText"/>
      </w:pPr>
    </w:p>
    <w:bookmarkEnd w:id="5"/>
    <w:p w14:paraId="2F84FF91" w14:textId="4C26AD0D" w:rsidR="001D791A" w:rsidRDefault="000C2DAF" w:rsidP="00ED08D5">
      <w:pPr>
        <w:pStyle w:val="Heading2"/>
        <w:spacing w:before="0"/>
        <w:ind w:right="700"/>
        <w:rPr>
          <w:color w:val="211E1F"/>
        </w:rPr>
      </w:pPr>
      <w:r>
        <w:rPr>
          <w:color w:val="211E1F"/>
        </w:rPr>
        <w:t xml:space="preserve">Mutual funds in the </w:t>
      </w:r>
      <w:r w:rsidRPr="4DF8B77B">
        <w:rPr>
          <w:i/>
          <w:iCs/>
          <w:color w:val="211E1F"/>
        </w:rPr>
        <w:t>Lincoln Alliance</w:t>
      </w:r>
      <w:r>
        <w:rPr>
          <w:color w:val="211E1F"/>
          <w:vertAlign w:val="superscript"/>
        </w:rPr>
        <w:t>®</w:t>
      </w:r>
      <w:r>
        <w:rPr>
          <w:color w:val="211E1F"/>
        </w:rPr>
        <w:t xml:space="preserve"> program are sold by prospectus. An investor should carefully consider</w:t>
      </w:r>
      <w:r>
        <w:rPr>
          <w:color w:val="211E1F"/>
          <w:spacing w:val="1"/>
        </w:rPr>
        <w:t xml:space="preserve"> </w:t>
      </w:r>
      <w:r>
        <w:rPr>
          <w:color w:val="211E1F"/>
        </w:rPr>
        <w:t>the investment objectives, risks, and charges and expenses of the investment company before investing. Th</w:t>
      </w:r>
      <w:r w:rsidR="00271995">
        <w:rPr>
          <w:color w:val="211E1F"/>
        </w:rPr>
        <w:t>e p</w:t>
      </w:r>
      <w:r>
        <w:rPr>
          <w:color w:val="211E1F"/>
        </w:rPr>
        <w:t xml:space="preserve">rospectus and, if available, the summary prospectus </w:t>
      </w:r>
      <w:proofErr w:type="gramStart"/>
      <w:r>
        <w:rPr>
          <w:color w:val="211E1F"/>
        </w:rPr>
        <w:t>contain</w:t>
      </w:r>
      <w:proofErr w:type="gramEnd"/>
      <w:r>
        <w:rPr>
          <w:color w:val="211E1F"/>
        </w:rPr>
        <w:t xml:space="preserve"> this and other important information and</w:t>
      </w:r>
      <w:r>
        <w:rPr>
          <w:color w:val="211E1F"/>
          <w:spacing w:val="1"/>
        </w:rPr>
        <w:t xml:space="preserve"> </w:t>
      </w:r>
      <w:r>
        <w:rPr>
          <w:color w:val="211E1F"/>
        </w:rPr>
        <w:t>should be read carefully before investing or sending money. Investment values will fluctuate with changes i</w:t>
      </w:r>
      <w:r w:rsidR="00271995">
        <w:rPr>
          <w:color w:val="211E1F"/>
        </w:rPr>
        <w:t>n m</w:t>
      </w:r>
      <w:r>
        <w:rPr>
          <w:color w:val="211E1F"/>
        </w:rPr>
        <w:t>arket conditions, so that upon withdrawal, your investment may be worth more or less than the amount</w:t>
      </w:r>
      <w:r>
        <w:rPr>
          <w:color w:val="211E1F"/>
          <w:spacing w:val="1"/>
        </w:rPr>
        <w:t xml:space="preserve"> </w:t>
      </w:r>
      <w:r>
        <w:rPr>
          <w:color w:val="211E1F"/>
        </w:rPr>
        <w:t xml:space="preserve">originally invested. Prospectuses for any of the mutual funds in the </w:t>
      </w:r>
      <w:r w:rsidRPr="4DF8B77B">
        <w:rPr>
          <w:i/>
          <w:iCs/>
          <w:color w:val="211E1F"/>
        </w:rPr>
        <w:t>Lincoln Alliance</w:t>
      </w:r>
      <w:r>
        <w:rPr>
          <w:color w:val="211E1F"/>
          <w:vertAlign w:val="superscript"/>
        </w:rPr>
        <w:t>®</w:t>
      </w:r>
      <w:r>
        <w:rPr>
          <w:color w:val="211E1F"/>
        </w:rPr>
        <w:t xml:space="preserve"> program are available a</w:t>
      </w:r>
      <w:r w:rsidR="00EC5330">
        <w:rPr>
          <w:color w:val="211E1F"/>
        </w:rPr>
        <w:t>t 8</w:t>
      </w:r>
      <w:r>
        <w:rPr>
          <w:color w:val="211E1F"/>
        </w:rPr>
        <w:t>00-234-3500.</w:t>
      </w:r>
    </w:p>
    <w:p w14:paraId="4EFA1F82" w14:textId="77777777" w:rsidR="00EE172D" w:rsidRDefault="00EE172D" w:rsidP="00ED08D5">
      <w:pPr>
        <w:pStyle w:val="Heading2"/>
        <w:spacing w:before="0"/>
        <w:ind w:right="700"/>
        <w:rPr>
          <w:color w:val="211E1F"/>
        </w:rPr>
      </w:pPr>
    </w:p>
    <w:p w14:paraId="11329903" w14:textId="77777777" w:rsidR="00EE172D" w:rsidRDefault="00EE172D" w:rsidP="00ED08D5">
      <w:pPr>
        <w:pStyle w:val="Heading2"/>
        <w:spacing w:before="0"/>
        <w:ind w:right="700"/>
        <w:rPr>
          <w:color w:val="211E1F"/>
        </w:rPr>
      </w:pPr>
    </w:p>
    <w:p w14:paraId="65703905" w14:textId="77777777" w:rsidR="00EE172D" w:rsidRDefault="00EE172D" w:rsidP="00ED08D5">
      <w:pPr>
        <w:pStyle w:val="Heading2"/>
        <w:spacing w:before="0"/>
        <w:ind w:right="700"/>
      </w:pPr>
    </w:p>
    <w:p w14:paraId="08FA7634" w14:textId="77777777" w:rsidR="00AC1FC5" w:rsidRPr="00ED08D5" w:rsidRDefault="00AC1FC5" w:rsidP="00ED08D5">
      <w:pPr>
        <w:pStyle w:val="BodyText"/>
        <w:tabs>
          <w:tab w:val="left" w:pos="1980"/>
        </w:tabs>
        <w:spacing w:before="10"/>
        <w:ind w:right="700"/>
        <w:rPr>
          <w:sz w:val="20"/>
          <w:szCs w:val="20"/>
        </w:rPr>
      </w:pPr>
      <w:r w:rsidRPr="00ED08D5">
        <w:rPr>
          <w:sz w:val="20"/>
          <w:szCs w:val="20"/>
        </w:rPr>
        <w:t xml:space="preserve">The </w:t>
      </w:r>
      <w:r w:rsidRPr="00ED08D5">
        <w:rPr>
          <w:i/>
          <w:iCs/>
          <w:sz w:val="20"/>
          <w:szCs w:val="20"/>
        </w:rPr>
        <w:t>Lincoln Alliance</w:t>
      </w:r>
      <w:r w:rsidRPr="00ED08D5">
        <w:rPr>
          <w:sz w:val="20"/>
          <w:szCs w:val="20"/>
        </w:rPr>
        <w:t>® program includes certain services provided by Lincoln Retirement Services Company, LLC and Lincoln Financial Group Trust Company, Inc. with wholesale marketing and distribution services provided by Lincoln Financial Distributors, Inc. (LFD), a wholesale broker-dealer (member FINRA). All entities listed are affiliates of Lincoln Financial Group, the marketing name for Lincoln National Corporation. Unaffiliated broker-dealers also may provide services to customers. Account values are subject to fluctuation, including loss of principal.</w:t>
      </w:r>
    </w:p>
    <w:p w14:paraId="567A959A" w14:textId="77777777" w:rsidR="001D791A" w:rsidRDefault="001D791A">
      <w:pPr>
        <w:pStyle w:val="BodyText"/>
        <w:spacing w:before="10"/>
        <w:rPr>
          <w:sz w:val="19"/>
        </w:rPr>
      </w:pPr>
    </w:p>
    <w:p w14:paraId="37CA1D65" w14:textId="73FA6795" w:rsidR="001D791A" w:rsidRDefault="000C2DAF" w:rsidP="4DF8B77B">
      <w:pPr>
        <w:ind w:right="734"/>
        <w:rPr>
          <w:color w:val="211E1F"/>
          <w:sz w:val="20"/>
          <w:szCs w:val="20"/>
        </w:rPr>
      </w:pPr>
      <w:r w:rsidRPr="4DF8B77B">
        <w:rPr>
          <w:color w:val="211E1F"/>
          <w:sz w:val="20"/>
          <w:szCs w:val="20"/>
        </w:rPr>
        <w:t xml:space="preserve">Lincoln Financial Group is the marketing name for Lincoln National Corporation and its affiliates, </w:t>
      </w:r>
      <w:r w:rsidRPr="4DF8B77B">
        <w:rPr>
          <w:sz w:val="20"/>
          <w:szCs w:val="20"/>
        </w:rPr>
        <w:t>including Lincoln</w:t>
      </w:r>
      <w:r w:rsidRPr="4DF8B77B">
        <w:rPr>
          <w:spacing w:val="1"/>
          <w:sz w:val="20"/>
          <w:szCs w:val="20"/>
        </w:rPr>
        <w:t xml:space="preserve"> </w:t>
      </w:r>
      <w:r w:rsidRPr="4DF8B77B">
        <w:rPr>
          <w:sz w:val="20"/>
          <w:szCs w:val="20"/>
        </w:rPr>
        <w:t>Retirement</w:t>
      </w:r>
      <w:r w:rsidRPr="4DF8B77B">
        <w:rPr>
          <w:spacing w:val="-5"/>
          <w:sz w:val="20"/>
          <w:szCs w:val="20"/>
        </w:rPr>
        <w:t xml:space="preserve"> </w:t>
      </w:r>
      <w:r w:rsidRPr="4DF8B77B">
        <w:rPr>
          <w:sz w:val="20"/>
          <w:szCs w:val="20"/>
        </w:rPr>
        <w:t>Services</w:t>
      </w:r>
      <w:r w:rsidRPr="4DF8B77B">
        <w:rPr>
          <w:spacing w:val="-3"/>
          <w:sz w:val="20"/>
          <w:szCs w:val="20"/>
        </w:rPr>
        <w:t xml:space="preserve"> </w:t>
      </w:r>
      <w:r w:rsidRPr="4DF8B77B">
        <w:rPr>
          <w:sz w:val="20"/>
          <w:szCs w:val="20"/>
        </w:rPr>
        <w:t>Company,</w:t>
      </w:r>
      <w:r w:rsidRPr="4DF8B77B">
        <w:rPr>
          <w:spacing w:val="-3"/>
          <w:sz w:val="20"/>
          <w:szCs w:val="20"/>
        </w:rPr>
        <w:t xml:space="preserve"> </w:t>
      </w:r>
      <w:r w:rsidRPr="4DF8B77B">
        <w:rPr>
          <w:sz w:val="20"/>
          <w:szCs w:val="20"/>
        </w:rPr>
        <w:t>LLC</w:t>
      </w:r>
      <w:r w:rsidRPr="4DF8B77B">
        <w:rPr>
          <w:color w:val="211E1F"/>
          <w:sz w:val="20"/>
          <w:szCs w:val="20"/>
        </w:rPr>
        <w:t>.</w:t>
      </w:r>
      <w:r w:rsidRPr="4DF8B77B">
        <w:rPr>
          <w:color w:val="211E1F"/>
          <w:spacing w:val="-4"/>
          <w:sz w:val="20"/>
          <w:szCs w:val="20"/>
        </w:rPr>
        <w:t xml:space="preserve"> </w:t>
      </w:r>
      <w:r w:rsidRPr="4DF8B77B">
        <w:rPr>
          <w:color w:val="211E1F"/>
          <w:sz w:val="20"/>
          <w:szCs w:val="20"/>
        </w:rPr>
        <w:t>Affiliates</w:t>
      </w:r>
      <w:r w:rsidRPr="4DF8B77B">
        <w:rPr>
          <w:color w:val="211E1F"/>
          <w:spacing w:val="-3"/>
          <w:sz w:val="20"/>
          <w:szCs w:val="20"/>
        </w:rPr>
        <w:t xml:space="preserve"> </w:t>
      </w:r>
      <w:r w:rsidRPr="4DF8B77B">
        <w:rPr>
          <w:color w:val="211E1F"/>
          <w:sz w:val="20"/>
          <w:szCs w:val="20"/>
        </w:rPr>
        <w:t>are</w:t>
      </w:r>
      <w:r w:rsidRPr="4DF8B77B">
        <w:rPr>
          <w:color w:val="211E1F"/>
          <w:spacing w:val="-5"/>
          <w:sz w:val="20"/>
          <w:szCs w:val="20"/>
        </w:rPr>
        <w:t xml:space="preserve"> </w:t>
      </w:r>
      <w:r w:rsidRPr="4DF8B77B">
        <w:rPr>
          <w:color w:val="211E1F"/>
          <w:sz w:val="20"/>
          <w:szCs w:val="20"/>
        </w:rPr>
        <w:t>separately</w:t>
      </w:r>
      <w:r w:rsidRPr="4DF8B77B">
        <w:rPr>
          <w:color w:val="211E1F"/>
          <w:spacing w:val="-3"/>
          <w:sz w:val="20"/>
          <w:szCs w:val="20"/>
        </w:rPr>
        <w:t xml:space="preserve"> </w:t>
      </w:r>
      <w:r w:rsidRPr="4DF8B77B">
        <w:rPr>
          <w:color w:val="211E1F"/>
          <w:sz w:val="20"/>
          <w:szCs w:val="20"/>
        </w:rPr>
        <w:t>responsible</w:t>
      </w:r>
      <w:r w:rsidRPr="4DF8B77B">
        <w:rPr>
          <w:color w:val="211E1F"/>
          <w:spacing w:val="-5"/>
          <w:sz w:val="20"/>
          <w:szCs w:val="20"/>
        </w:rPr>
        <w:t xml:space="preserve"> </w:t>
      </w:r>
      <w:r w:rsidRPr="4DF8B77B">
        <w:rPr>
          <w:color w:val="211E1F"/>
          <w:sz w:val="20"/>
          <w:szCs w:val="20"/>
        </w:rPr>
        <w:t>for</w:t>
      </w:r>
      <w:r w:rsidRPr="4DF8B77B">
        <w:rPr>
          <w:color w:val="211E1F"/>
          <w:spacing w:val="-4"/>
          <w:sz w:val="20"/>
          <w:szCs w:val="20"/>
        </w:rPr>
        <w:t xml:space="preserve"> </w:t>
      </w:r>
      <w:r w:rsidRPr="4DF8B77B">
        <w:rPr>
          <w:color w:val="211E1F"/>
          <w:sz w:val="20"/>
          <w:szCs w:val="20"/>
        </w:rPr>
        <w:t>their</w:t>
      </w:r>
      <w:r w:rsidRPr="4DF8B77B">
        <w:rPr>
          <w:color w:val="211E1F"/>
          <w:spacing w:val="-5"/>
          <w:sz w:val="20"/>
          <w:szCs w:val="20"/>
        </w:rPr>
        <w:t xml:space="preserve"> </w:t>
      </w:r>
      <w:r w:rsidRPr="4DF8B77B">
        <w:rPr>
          <w:color w:val="211E1F"/>
          <w:sz w:val="20"/>
          <w:szCs w:val="20"/>
        </w:rPr>
        <w:t>own</w:t>
      </w:r>
      <w:r w:rsidRPr="4DF8B77B">
        <w:rPr>
          <w:color w:val="211E1F"/>
          <w:spacing w:val="-3"/>
          <w:sz w:val="20"/>
          <w:szCs w:val="20"/>
        </w:rPr>
        <w:t xml:space="preserve"> </w:t>
      </w:r>
      <w:r w:rsidRPr="4DF8B77B">
        <w:rPr>
          <w:color w:val="211E1F"/>
          <w:sz w:val="20"/>
          <w:szCs w:val="20"/>
        </w:rPr>
        <w:t>financial</w:t>
      </w:r>
      <w:r w:rsidRPr="4DF8B77B">
        <w:rPr>
          <w:color w:val="211E1F"/>
          <w:spacing w:val="-4"/>
          <w:sz w:val="20"/>
          <w:szCs w:val="20"/>
        </w:rPr>
        <w:t xml:space="preserve"> </w:t>
      </w:r>
      <w:r w:rsidRPr="4DF8B77B">
        <w:rPr>
          <w:color w:val="211E1F"/>
          <w:sz w:val="20"/>
          <w:szCs w:val="20"/>
        </w:rPr>
        <w:t>and</w:t>
      </w:r>
      <w:r w:rsidRPr="4DF8B77B">
        <w:rPr>
          <w:color w:val="211E1F"/>
          <w:spacing w:val="-3"/>
          <w:sz w:val="20"/>
          <w:szCs w:val="20"/>
        </w:rPr>
        <w:t xml:space="preserve"> </w:t>
      </w:r>
      <w:r w:rsidRPr="4DF8B77B">
        <w:rPr>
          <w:color w:val="211E1F"/>
          <w:sz w:val="20"/>
          <w:szCs w:val="20"/>
        </w:rPr>
        <w:t>contractual</w:t>
      </w:r>
      <w:r w:rsidRPr="4DF8B77B">
        <w:rPr>
          <w:color w:val="211E1F"/>
          <w:spacing w:val="-4"/>
          <w:sz w:val="20"/>
          <w:szCs w:val="20"/>
        </w:rPr>
        <w:t xml:space="preserve"> </w:t>
      </w:r>
      <w:r w:rsidRPr="4DF8B77B">
        <w:rPr>
          <w:color w:val="211E1F"/>
          <w:sz w:val="20"/>
          <w:szCs w:val="20"/>
        </w:rPr>
        <w:t>obligations.</w:t>
      </w:r>
    </w:p>
    <w:p w14:paraId="6864C28D" w14:textId="03FCD0E4" w:rsidR="00FF117C" w:rsidRDefault="00FF117C" w:rsidP="4DF8B77B">
      <w:pPr>
        <w:ind w:right="734"/>
        <w:rPr>
          <w:color w:val="211E1F"/>
          <w:sz w:val="20"/>
          <w:szCs w:val="20"/>
        </w:rPr>
      </w:pPr>
    </w:p>
    <w:p w14:paraId="14E66624" w14:textId="77777777" w:rsidR="00FF117C" w:rsidRDefault="00FF117C" w:rsidP="4DF8B77B">
      <w:pPr>
        <w:ind w:right="734"/>
        <w:rPr>
          <w:sz w:val="20"/>
          <w:szCs w:val="20"/>
        </w:rPr>
      </w:pPr>
      <w:bookmarkStart w:id="6" w:name="_Hlk116627073"/>
      <w:bookmarkEnd w:id="6"/>
    </w:p>
    <w:p w14:paraId="5FD68D79" w14:textId="77777777" w:rsidR="001D791A" w:rsidRPr="00037701" w:rsidRDefault="001D791A">
      <w:pPr>
        <w:pStyle w:val="BodyText"/>
        <w:rPr>
          <w:rFonts w:asciiTheme="minorHAnsi" w:hAnsiTheme="minorHAnsi" w:cstheme="minorHAnsi"/>
          <w:sz w:val="20"/>
        </w:rPr>
      </w:pPr>
    </w:p>
    <w:p w14:paraId="78CBEDC3" w14:textId="775B922A" w:rsidR="006E6FCE" w:rsidRPr="00037701" w:rsidRDefault="000C2DAF" w:rsidP="4DF8B77B">
      <w:pPr>
        <w:spacing w:before="94"/>
        <w:ind w:left="115" w:right="893"/>
        <w:rPr>
          <w:rFonts w:asciiTheme="minorHAnsi" w:hAnsiTheme="minorHAnsi" w:cstheme="minorHAnsi"/>
          <w:color w:val="211E1F"/>
          <w:sz w:val="20"/>
          <w:szCs w:val="20"/>
        </w:rPr>
      </w:pPr>
      <w:bookmarkStart w:id="7" w:name="_Hlk89092217"/>
      <w:r w:rsidRPr="00037701">
        <w:rPr>
          <w:rFonts w:asciiTheme="minorHAnsi" w:hAnsiTheme="minorHAnsi" w:cstheme="minorHAnsi"/>
          <w:color w:val="211E1F"/>
          <w:sz w:val="20"/>
          <w:szCs w:val="20"/>
        </w:rPr>
        <w:t xml:space="preserve">© </w:t>
      </w:r>
      <w:r w:rsidR="00200234">
        <w:rPr>
          <w:rFonts w:asciiTheme="minorHAnsi" w:hAnsiTheme="minorHAnsi" w:cstheme="minorHAnsi"/>
          <w:color w:val="211E1F"/>
          <w:sz w:val="20"/>
          <w:szCs w:val="20"/>
        </w:rPr>
        <w:t>2024</w:t>
      </w:r>
      <w:r w:rsidRPr="00037701">
        <w:rPr>
          <w:rFonts w:asciiTheme="minorHAnsi" w:hAnsiTheme="minorHAnsi" w:cstheme="minorHAnsi"/>
          <w:color w:val="211E1F"/>
          <w:sz w:val="20"/>
          <w:szCs w:val="20"/>
        </w:rPr>
        <w:t xml:space="preserve"> Lincoln National Corporation</w:t>
      </w:r>
    </w:p>
    <w:p w14:paraId="41B6D7A7" w14:textId="77777777" w:rsidR="006C0D86" w:rsidRPr="00037701" w:rsidRDefault="006C0D86" w:rsidP="4DF8B77B">
      <w:pPr>
        <w:spacing w:before="94"/>
        <w:ind w:left="115" w:right="893"/>
        <w:rPr>
          <w:rFonts w:asciiTheme="minorHAnsi" w:hAnsiTheme="minorHAnsi" w:cstheme="minorHAnsi"/>
          <w:color w:val="211E1F"/>
          <w:sz w:val="18"/>
          <w:szCs w:val="18"/>
        </w:rPr>
      </w:pPr>
    </w:p>
    <w:bookmarkEnd w:id="7"/>
    <w:p w14:paraId="0A8422E7" w14:textId="07A8F2B6" w:rsidR="001D791A" w:rsidRPr="00037701" w:rsidRDefault="000C2DAF" w:rsidP="10368F43">
      <w:pPr>
        <w:spacing w:before="94"/>
        <w:ind w:left="115" w:right="893"/>
        <w:rPr>
          <w:rFonts w:asciiTheme="minorHAnsi" w:hAnsiTheme="minorHAnsi" w:cstheme="minorHAnsi"/>
          <w:sz w:val="18"/>
          <w:szCs w:val="18"/>
        </w:rPr>
      </w:pPr>
      <w:r w:rsidRPr="00037701">
        <w:rPr>
          <w:rFonts w:asciiTheme="minorHAnsi" w:hAnsiTheme="minorHAnsi" w:cstheme="minorHAnsi"/>
          <w:color w:val="211E1F"/>
          <w:spacing w:val="-47"/>
          <w:sz w:val="18"/>
          <w:szCs w:val="18"/>
        </w:rPr>
        <w:t xml:space="preserve"> </w:t>
      </w:r>
      <w:r w:rsidR="006C0D86" w:rsidRPr="00037701">
        <w:rPr>
          <w:rFonts w:asciiTheme="minorHAnsi" w:hAnsiTheme="minorHAnsi" w:cstheme="minorHAnsi"/>
          <w:color w:val="211E1F"/>
          <w:sz w:val="20"/>
          <w:szCs w:val="20"/>
        </w:rPr>
        <w:t>PAD-6600783-050324</w:t>
      </w:r>
    </w:p>
    <w:sectPr w:rsidR="001D791A" w:rsidRPr="00037701">
      <w:pgSz w:w="12240" w:h="15840"/>
      <w:pgMar w:top="1040" w:right="3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9B431B"/>
    <w:multiLevelType w:val="hybridMultilevel"/>
    <w:tmpl w:val="6D283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56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1A"/>
    <w:rsid w:val="0000668A"/>
    <w:rsid w:val="00037701"/>
    <w:rsid w:val="00050CF4"/>
    <w:rsid w:val="00075911"/>
    <w:rsid w:val="000C2DAF"/>
    <w:rsid w:val="000C7E3F"/>
    <w:rsid w:val="000E6CA0"/>
    <w:rsid w:val="0013123A"/>
    <w:rsid w:val="001B1036"/>
    <w:rsid w:val="001B56D2"/>
    <w:rsid w:val="001D791A"/>
    <w:rsid w:val="00200234"/>
    <w:rsid w:val="00207BE3"/>
    <w:rsid w:val="00207D2A"/>
    <w:rsid w:val="00271995"/>
    <w:rsid w:val="00292367"/>
    <w:rsid w:val="0029391C"/>
    <w:rsid w:val="00387172"/>
    <w:rsid w:val="003902A2"/>
    <w:rsid w:val="0039518C"/>
    <w:rsid w:val="003A0F31"/>
    <w:rsid w:val="003D2586"/>
    <w:rsid w:val="003E64B5"/>
    <w:rsid w:val="003F64E1"/>
    <w:rsid w:val="005073F3"/>
    <w:rsid w:val="00554E63"/>
    <w:rsid w:val="0057025D"/>
    <w:rsid w:val="005E42F7"/>
    <w:rsid w:val="005F7548"/>
    <w:rsid w:val="006123C7"/>
    <w:rsid w:val="006A2D02"/>
    <w:rsid w:val="006B13A0"/>
    <w:rsid w:val="006C0D86"/>
    <w:rsid w:val="006C464B"/>
    <w:rsid w:val="006E6FCE"/>
    <w:rsid w:val="006F0057"/>
    <w:rsid w:val="007411DE"/>
    <w:rsid w:val="00747E5E"/>
    <w:rsid w:val="00774625"/>
    <w:rsid w:val="007878B2"/>
    <w:rsid w:val="007960F1"/>
    <w:rsid w:val="007D071B"/>
    <w:rsid w:val="007E1CA0"/>
    <w:rsid w:val="00825E97"/>
    <w:rsid w:val="0084113E"/>
    <w:rsid w:val="00843634"/>
    <w:rsid w:val="008C5C40"/>
    <w:rsid w:val="009145D4"/>
    <w:rsid w:val="009157E9"/>
    <w:rsid w:val="0094527E"/>
    <w:rsid w:val="00955B89"/>
    <w:rsid w:val="00A16A1B"/>
    <w:rsid w:val="00A9796F"/>
    <w:rsid w:val="00AC1FC5"/>
    <w:rsid w:val="00B0222A"/>
    <w:rsid w:val="00B14A95"/>
    <w:rsid w:val="00B91A10"/>
    <w:rsid w:val="00BA6485"/>
    <w:rsid w:val="00C02022"/>
    <w:rsid w:val="00C50961"/>
    <w:rsid w:val="00C702DB"/>
    <w:rsid w:val="00C847E1"/>
    <w:rsid w:val="00C95F86"/>
    <w:rsid w:val="00CA4CDA"/>
    <w:rsid w:val="00CD38B8"/>
    <w:rsid w:val="00CD44D5"/>
    <w:rsid w:val="00D0753E"/>
    <w:rsid w:val="00D274C0"/>
    <w:rsid w:val="00DF2F64"/>
    <w:rsid w:val="00E124E2"/>
    <w:rsid w:val="00E14107"/>
    <w:rsid w:val="00E760CB"/>
    <w:rsid w:val="00E93318"/>
    <w:rsid w:val="00E937A6"/>
    <w:rsid w:val="00EB7D6E"/>
    <w:rsid w:val="00EC5330"/>
    <w:rsid w:val="00ED08D5"/>
    <w:rsid w:val="00EE172D"/>
    <w:rsid w:val="00F0558D"/>
    <w:rsid w:val="00F21FD7"/>
    <w:rsid w:val="00F51D8B"/>
    <w:rsid w:val="00F526FF"/>
    <w:rsid w:val="00F634A2"/>
    <w:rsid w:val="00F92788"/>
    <w:rsid w:val="00F95129"/>
    <w:rsid w:val="00FF117C"/>
    <w:rsid w:val="10368F43"/>
    <w:rsid w:val="1A84A78B"/>
    <w:rsid w:val="1DF9E445"/>
    <w:rsid w:val="2148911F"/>
    <w:rsid w:val="2659DF5A"/>
    <w:rsid w:val="2BABEE88"/>
    <w:rsid w:val="2D9BCDEE"/>
    <w:rsid w:val="336116D5"/>
    <w:rsid w:val="37EAAA38"/>
    <w:rsid w:val="3A361292"/>
    <w:rsid w:val="40F18000"/>
    <w:rsid w:val="4A536B57"/>
    <w:rsid w:val="4DF8B77B"/>
    <w:rsid w:val="4E8AB006"/>
    <w:rsid w:val="51FB66BD"/>
    <w:rsid w:val="530E7830"/>
    <w:rsid w:val="5593B596"/>
    <w:rsid w:val="5BCEA53A"/>
    <w:rsid w:val="5CDB9CA4"/>
    <w:rsid w:val="5D249D97"/>
    <w:rsid w:val="5DD4EBFB"/>
    <w:rsid w:val="60461BEF"/>
    <w:rsid w:val="61B36B3B"/>
    <w:rsid w:val="64DD3821"/>
    <w:rsid w:val="68E37E26"/>
    <w:rsid w:val="6C0C848E"/>
    <w:rsid w:val="6D0775C7"/>
    <w:rsid w:val="703337FB"/>
    <w:rsid w:val="74080F24"/>
    <w:rsid w:val="74F41552"/>
    <w:rsid w:val="7C042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A587"/>
  <w15:docId w15:val="{F3FA74D4-5088-4F3D-B53F-EEF7A968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
      <w:ind w:left="120"/>
      <w:outlineLvl w:val="0"/>
    </w:pPr>
    <w:rPr>
      <w:b/>
      <w:bCs/>
      <w:sz w:val="28"/>
      <w:szCs w:val="28"/>
    </w:rPr>
  </w:style>
  <w:style w:type="paragraph" w:styleId="Heading2">
    <w:name w:val="heading 2"/>
    <w:basedOn w:val="Normal"/>
    <w:uiPriority w:val="9"/>
    <w:unhideWhenUsed/>
    <w:qFormat/>
    <w:pPr>
      <w:spacing w:before="56"/>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292367"/>
    <w:rPr>
      <w:rFonts w:ascii="Calibri" w:eastAsia="Calibri" w:hAnsi="Calibri" w:cs="Calibri"/>
    </w:rPr>
  </w:style>
  <w:style w:type="paragraph" w:styleId="Revision">
    <w:name w:val="Revision"/>
    <w:hidden/>
    <w:uiPriority w:val="99"/>
    <w:semiHidden/>
    <w:rsid w:val="00050CF4"/>
    <w:pPr>
      <w:widowControl/>
      <w:autoSpaceDE/>
      <w:autoSpaceDN/>
    </w:pPr>
    <w:rPr>
      <w:rFonts w:ascii="Calibri" w:eastAsia="Calibri" w:hAnsi="Calibri" w:cs="Calibri"/>
    </w:rPr>
  </w:style>
  <w:style w:type="table" w:styleId="TableGrid">
    <w:name w:val="Table Grid"/>
    <w:basedOn w:val="TableNormal"/>
    <w:uiPriority w:val="39"/>
    <w:rsid w:val="006B13A0"/>
    <w:pPr>
      <w:widowControl/>
      <w:autoSpaceDE/>
      <w:autoSpaceDN/>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88675">
      <w:bodyDiv w:val="1"/>
      <w:marLeft w:val="0"/>
      <w:marRight w:val="0"/>
      <w:marTop w:val="0"/>
      <w:marBottom w:val="0"/>
      <w:divBdr>
        <w:top w:val="none" w:sz="0" w:space="0" w:color="auto"/>
        <w:left w:val="none" w:sz="0" w:space="0" w:color="auto"/>
        <w:bottom w:val="none" w:sz="0" w:space="0" w:color="auto"/>
        <w:right w:val="none" w:sz="0" w:space="0" w:color="auto"/>
      </w:divBdr>
    </w:div>
    <w:div w:id="1568489329">
      <w:bodyDiv w:val="1"/>
      <w:marLeft w:val="0"/>
      <w:marRight w:val="0"/>
      <w:marTop w:val="0"/>
      <w:marBottom w:val="0"/>
      <w:divBdr>
        <w:top w:val="none" w:sz="0" w:space="0" w:color="auto"/>
        <w:left w:val="none" w:sz="0" w:space="0" w:color="auto"/>
        <w:bottom w:val="none" w:sz="0" w:space="0" w:color="auto"/>
        <w:right w:val="none" w:sz="0" w:space="0" w:color="auto"/>
      </w:divBdr>
    </w:div>
    <w:div w:id="1991639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FG Document" ma:contentTypeID="0x010100ACD7E28535BA384BBEECBF44EFC525E50008AE309094107748A47205CF92475836" ma:contentTypeVersion="71" ma:contentTypeDescription="" ma:contentTypeScope="" ma:versionID="bb23334ec0a417fcc7f19cb7f30e75de">
  <xsd:schema xmlns:xsd="http://www.w3.org/2001/XMLSchema" xmlns:xs="http://www.w3.org/2001/XMLSchema" xmlns:p="http://schemas.microsoft.com/office/2006/metadata/properties" xmlns:ns1="http://schemas.microsoft.com/sharepoint/v3" xmlns:ns2="e1edf506-7f67-484d-955d-7fb9a862fa88" xmlns:ns3="33464907-5b17-47f3-8516-f84dec3eba40" xmlns:ns4="http://schemas.microsoft.com/sharepoint/v4" targetNamespace="http://schemas.microsoft.com/office/2006/metadata/properties" ma:root="true" ma:fieldsID="5c1b907036734f8af1737091114300c6" ns1:_="" ns2:_="" ns3:_="" ns4:_="">
    <xsd:import namespace="http://schemas.microsoft.com/sharepoint/v3"/>
    <xsd:import namespace="e1edf506-7f67-484d-955d-7fb9a862fa88"/>
    <xsd:import namespace="33464907-5b17-47f3-8516-f84dec3eba40"/>
    <xsd:import namespace="http://schemas.microsoft.com/sharepoint/v4"/>
    <xsd:element name="properties">
      <xsd:complexType>
        <xsd:sequence>
          <xsd:element name="documentManagement">
            <xsd:complexType>
              <xsd:all>
                <xsd:element ref="ns2:Classification"/>
                <xsd:element ref="ns2:TaxKeywordTaxHTField" minOccurs="0"/>
                <xsd:element ref="ns2:TaxCatchAll" minOccurs="0"/>
                <xsd:element ref="ns2:TaxCatchAllLabel" minOccurs="0"/>
                <xsd:element ref="ns1:Audience" minOccurs="0"/>
                <xsd:element ref="ns3:Page_Header_Section" minOccurs="0"/>
                <xsd:element ref="ns4:IconOverlay" minOccurs="0"/>
                <xsd:element ref="ns3:Page_Header_Section_x003a_Header" minOccurs="0"/>
                <xsd:element ref="ns3:Page_Header_Section_x003a_Section" minOccurs="0"/>
                <xsd:element ref="ns3:Page_Header_Section_x003a_P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13" nillable="true" ma:displayName="Target Audiences" ma:description="Target Audiences is a site column created by the Publishing feature. It is used to specify audiences to which this page will be targeted." ma:internalName="Audienc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edf506-7f67-484d-955d-7fb9a862fa88" elementFormDefault="qualified">
    <xsd:import namespace="http://schemas.microsoft.com/office/2006/documentManagement/types"/>
    <xsd:import namespace="http://schemas.microsoft.com/office/infopath/2007/PartnerControls"/>
    <xsd:element name="Classification" ma:index="8" ma:displayName="Classification" ma:format="RadioButtons" ma:internalName="Classification" ma:readOnly="false">
      <xsd:simpleType>
        <xsd:restriction base="dms:Choice">
          <xsd:enumeration value="Public"/>
          <xsd:enumeration value="Sensitive"/>
          <xsd:enumeration value="Confidential"/>
        </xsd:restriction>
      </xsd:simpleType>
    </xsd:element>
    <xsd:element name="TaxKeywordTaxHTField" ma:index="9" nillable="true" ma:taxonomy="true" ma:internalName="TaxKeywordTaxHTField" ma:taxonomyFieldName="TaxKeyword" ma:displayName="Enterprise Keywords" ma:readOnly="false" ma:fieldId="{23f27201-bee3-471e-b2e7-b64fd8b7ca38}" ma:taxonomyMulti="true" ma:sspId="17bbafba-6019-4d5f-9e43-ba43c471a479"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3715f7d8-4d05-4d6d-8631-1cfa5a74020a}" ma:internalName="TaxCatchAll" ma:showField="CatchAllData" ma:web="e1edf506-7f67-484d-955d-7fb9a862fa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3715f7d8-4d05-4d6d-8631-1cfa5a74020a}" ma:internalName="TaxCatchAllLabel" ma:readOnly="true" ma:showField="CatchAllDataLabel" ma:web="e1edf506-7f67-484d-955d-7fb9a862fa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464907-5b17-47f3-8516-f84dec3eba40" elementFormDefault="qualified">
    <xsd:import namespace="http://schemas.microsoft.com/office/2006/documentManagement/types"/>
    <xsd:import namespace="http://schemas.microsoft.com/office/infopath/2007/PartnerControls"/>
    <xsd:element name="Page_Header_Section" ma:index="14" nillable="true" ma:displayName="Page_Section_Header" ma:list="{0261e31d-b484-4981-9d11-48a2c24b7fe8}" ma:internalName="Page_Header_Section" ma:showField="Title">
      <xsd:simpleType>
        <xsd:restriction base="dms:Lookup"/>
      </xsd:simpleType>
    </xsd:element>
    <xsd:element name="Page_Header_Section_x003a_Header" ma:index="16" nillable="true" ma:displayName="Page_Section_Header:Section" ma:list="{0261e31d-b484-4981-9d11-48a2c24b7fe8}" ma:internalName="Page_Header_Section_x003a_Header" ma:readOnly="true" ma:showField="Header" ma:web="e1edf506-7f67-484d-955d-7fb9a862fa88">
      <xsd:simpleType>
        <xsd:restriction base="dms:Lookup"/>
      </xsd:simpleType>
    </xsd:element>
    <xsd:element name="Page_Header_Section_x003a_Section" ma:index="17" nillable="true" ma:displayName="Page_Section_Header:Header" ma:list="{0261e31d-b484-4981-9d11-48a2c24b7fe8}" ma:internalName="Page_Header_Section_x003a_Section" ma:readOnly="true" ma:showField="Section" ma:web="e1edf506-7f67-484d-955d-7fb9a862fa88">
      <xsd:simpleType>
        <xsd:restriction base="dms:Lookup"/>
      </xsd:simpleType>
    </xsd:element>
    <xsd:element name="Page_Header_Section_x003a_Page" ma:index="18" nillable="true" ma:displayName="Page_Section_Header:Page" ma:list="{0261e31d-b484-4981-9d11-48a2c24b7fe8}" ma:internalName="Page_Header_Section_x003a_Page" ma:readOnly="true" ma:showField="Page" ma:web="e1edf506-7f67-484d-955d-7fb9a862fa88">
      <xsd:simpleType>
        <xsd:restriction base="dms:Lookup"/>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b256904-354e-48d6-a6fd-9953fe726fa5" ContentTypeId="0x0101003BE30BB93FF1664AAF97C282F667864E"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1edf506-7f67-484d-955d-7fb9a862fa88">
      <Terms xmlns="http://schemas.microsoft.com/office/infopath/2007/PartnerControls"/>
    </TaxKeywordTaxHTField>
    <TaxCatchAll xmlns="e1edf506-7f67-484d-955d-7fb9a862fa88" xsi:nil="true"/>
    <IconOverlay xmlns="http://schemas.microsoft.com/sharepoint/v4" xsi:nil="true"/>
    <Audience xmlns="http://schemas.microsoft.com/sharepoint/v3" xsi:nil="true"/>
    <Page_Header_Section xmlns="33464907-5b17-47f3-8516-f84dec3eba40">736</Page_Header_Section>
    <Classification xmlns="e1edf506-7f67-484d-955d-7fb9a862fa88">Public</Class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223DE-82F9-4A69-B215-66EFDA2EC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edf506-7f67-484d-955d-7fb9a862fa88"/>
    <ds:schemaRef ds:uri="33464907-5b17-47f3-8516-f84dec3eba4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685B6-CD2A-488F-8FDD-72B3A842AADE}">
  <ds:schemaRefs>
    <ds:schemaRef ds:uri="Microsoft.SharePoint.Taxonomy.ContentTypeSync"/>
  </ds:schemaRefs>
</ds:datastoreItem>
</file>

<file path=customXml/itemProps3.xml><?xml version="1.0" encoding="utf-8"?>
<ds:datastoreItem xmlns:ds="http://schemas.openxmlformats.org/officeDocument/2006/customXml" ds:itemID="{A09FC9B6-26B2-4630-95B4-E40270B4B989}">
  <ds:schemaRefs>
    <ds:schemaRef ds:uri="http://schemas.microsoft.com/office/2006/metadata/properties"/>
    <ds:schemaRef ds:uri="http://schemas.microsoft.com/office/infopath/2007/PartnerControls"/>
    <ds:schemaRef ds:uri="e1edf506-7f67-484d-955d-7fb9a862fa88"/>
    <ds:schemaRef ds:uri="http://schemas.microsoft.com/sharepoint/v4"/>
    <ds:schemaRef ds:uri="http://schemas.microsoft.com/sharepoint/v3"/>
    <ds:schemaRef ds:uri="33464907-5b17-47f3-8516-f84dec3eba40"/>
  </ds:schemaRefs>
</ds:datastoreItem>
</file>

<file path=customXml/itemProps4.xml><?xml version="1.0" encoding="utf-8"?>
<ds:datastoreItem xmlns:ds="http://schemas.openxmlformats.org/officeDocument/2006/customXml" ds:itemID="{D9E30307-B13F-4624-BA26-0675B230B5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Blackout Notice QDIA</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Blackout Notice QDIA</dc:title>
  <dc:creator>McKillip, Daniel</dc:creator>
  <cp:keywords/>
  <cp:lastModifiedBy>Jennifer Bless</cp:lastModifiedBy>
  <cp:revision>8</cp:revision>
  <dcterms:created xsi:type="dcterms:W3CDTF">2024-08-28T18:21:00Z</dcterms:created>
  <dcterms:modified xsi:type="dcterms:W3CDTF">2024-09-05T11:00:00Z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Acrobat PDFMaker 21 for Word</vt:lpwstr>
  </property>
  <property fmtid="{D5CDD505-2E9C-101B-9397-08002B2CF9AE}" pid="4" name="LastSaved">
    <vt:filetime>2021-09-27T00:00:00Z</vt:filetime>
  </property>
  <property fmtid="{D5CDD505-2E9C-101B-9397-08002B2CF9AE}" pid="5" name="ContentTypeId">
    <vt:lpwstr>0x010100ACD7E28535BA384BBEECBF44EFC525E50008AE309094107748A47205CF92475836</vt:lpwstr>
  </property>
  <property fmtid="{D5CDD505-2E9C-101B-9397-08002B2CF9AE}" pid="6" name="Order">
    <vt:r8>17186500</vt:r8>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y fmtid="{D5CDD505-2E9C-101B-9397-08002B2CF9AE}" pid="13" name="TaxKeyword">
    <vt:lpwstr/>
  </property>
  <property fmtid="{D5CDD505-2E9C-101B-9397-08002B2CF9AE}" pid="14" name="MediaServiceImageTags">
    <vt:lpwstr/>
  </property>
</Properties>
</file>